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C4F7F" w14:textId="0A9DDAD3" w:rsidR="00AD77DC" w:rsidRPr="00AD77DC" w:rsidRDefault="00AD77DC" w:rsidP="00AD77DC">
      <w:pPr>
        <w:jc w:val="both"/>
        <w:rPr>
          <w:rFonts w:ascii="Times New Roman" w:hAnsi="Times New Roman" w:cs="Times New Roman"/>
        </w:rPr>
      </w:pPr>
      <w:r w:rsidRPr="00AD77DC">
        <w:rPr>
          <w:rFonts w:ascii="Times New Roman" w:hAnsi="Times New Roman" w:cs="Times New Roman"/>
        </w:rPr>
        <w:t>Muitinės departamentas prie Lietuvos Respublikos finansų ministerijos (toliau – Muitinės departamentas)</w:t>
      </w:r>
      <w:r>
        <w:rPr>
          <w:rFonts w:ascii="Times New Roman" w:hAnsi="Times New Roman" w:cs="Times New Roman"/>
        </w:rPr>
        <w:t xml:space="preserve"> </w:t>
      </w:r>
      <w:r w:rsidRPr="00AD77DC">
        <w:rPr>
          <w:rFonts w:ascii="Times New Roman" w:hAnsi="Times New Roman" w:cs="Times New Roman"/>
        </w:rPr>
        <w:t>informuoja, kad kiekvienas įgaliotojo ekonominės veiklos vykdytojo (toliau – AEO) leidimo turėtojas privalo nuolat ir be pertraukos atitikti visus jam nustatytus reikalavimus, kurie išdėstyti Europos Parlamento ir Tarybos Reglamento (ES) Nr. 952/2013, kuriuo nustatomas Sąjungos muitinės kodeksas (toliau – SMK), 39 straipsnyje</w:t>
      </w:r>
      <w:r>
        <w:rPr>
          <w:rFonts w:ascii="Times New Roman" w:hAnsi="Times New Roman" w:cs="Times New Roman"/>
        </w:rPr>
        <w:t xml:space="preserve">. </w:t>
      </w:r>
    </w:p>
    <w:p w14:paraId="6ED295F3" w14:textId="77777777" w:rsidR="00AD77DC" w:rsidRPr="00AD77DC" w:rsidRDefault="00AD77DC" w:rsidP="00AD77DC">
      <w:pPr>
        <w:jc w:val="both"/>
        <w:rPr>
          <w:rFonts w:ascii="Times New Roman" w:hAnsi="Times New Roman" w:cs="Times New Roman"/>
        </w:rPr>
      </w:pPr>
      <w:r w:rsidRPr="00AD77DC">
        <w:rPr>
          <w:rFonts w:ascii="Times New Roman" w:hAnsi="Times New Roman" w:cs="Times New Roman"/>
        </w:rPr>
        <w:t xml:space="preserve">Pastaruoju metu pastebima, kad įmonėms kyla neaiškumų, susijusių su galimu neatitikimu SMK 39 straipsnio b punkte nustatytam kriterijui „Pareiškėjo pateikti įrodymai, liudijantys apie aukštą jo veiklos ir prekių srautų valdymo lygį, kurį užtikrinanti prekybos ir, atitinkamais atvejais, transporto registrų tvarkymo sistema sudaro galimybes tinkamai atlikti muitinį tikrinimą“, vertinant atitikimą sąlygoms, nustatytoms 2015 m. lapkričio 24 d. Komisijos įgyvendinimo reglamento (ES) Nr. 2015/2447, kuriuo nustatomos išsamios tam tikrų Sąjungos muitinės kodekso nuostatų įgyvendinimo taisyklės (toliau – Įgyvendinimo reglamentas), 25 straipsnio f punkte („Pareiškėjas turi administracinę organizaciją, atitinkančią jo verslo rūšį ir dydį bei tinkamą prekių srautams valdyti, taip pat vykdo vidaus kontrolę, leidžiančią užkirsti kelią klaidoms, jas išaiškinti ir ištaisyti bei užkirsti kelią neteisėtiems ar netinkamiems sandoriams ir juos išaiškinti“), 25 straipsnio i punkte („Pareiškėjas užtikrina, kad atitinkamiems darbuotojams būtų pateikti nurodymai informuoti muitinę kiekvieną sykį, kai išaiškinami reikalavimų laikymosi sunkumai, ir nustato muitinės informavimo apie tokius sunkumus procedūrą“) ir 25 straipsnio k punkte („Atitinkamais atvejais pareiškėjas taiko priimtinas naudojimosi importo ir eksporto licencijomis, susijusiomis su draudimais ir apribojimais, procedūras, įskaitant priemones, naudojamas prekėms, kurioms taikomi draudimai ar apribojimai, atskirti nuo kitų prekių, ir tų draudimų ir apribojimų laikymosi užtikrinimo priemones“). </w:t>
      </w:r>
    </w:p>
    <w:p w14:paraId="1FCF6AD0" w14:textId="60DCE051" w:rsidR="00AD77DC" w:rsidRPr="00AD77DC" w:rsidRDefault="00AD77DC" w:rsidP="00AD77DC">
      <w:pPr>
        <w:jc w:val="both"/>
        <w:rPr>
          <w:rFonts w:ascii="Times New Roman" w:hAnsi="Times New Roman" w:cs="Times New Roman"/>
        </w:rPr>
      </w:pPr>
      <w:r w:rsidRPr="00AD77DC">
        <w:rPr>
          <w:rFonts w:ascii="Times New Roman" w:hAnsi="Times New Roman" w:cs="Times New Roman"/>
        </w:rPr>
        <w:t xml:space="preserve">Norėtume priminti, kad visos įmonės, įskaitant AEO leidimų turėtojas, Lietuvos Respublikos užsienio reikalų ministerijos 2024 m. rugsėjo 17 d. raštu Nr. (21.2.19E)3-5130 „Dėl naujų reikalavimų įsigaliojimo pagal Tarybos reglamentus (ES) Nr. 833/2014 ir Nr. 765/2006 ir kitų vidaus kontrolės priemonių sustiprinimo“ </w:t>
      </w:r>
      <w:bookmarkStart w:id="0" w:name="_MON_1823152890"/>
      <w:bookmarkEnd w:id="0"/>
      <w:r w:rsidR="007C43AB">
        <w:rPr>
          <w:rFonts w:ascii="Times New Roman" w:hAnsi="Times New Roman" w:cs="Times New Roman"/>
        </w:rPr>
        <w:object w:dxaOrig="1539" w:dyaOrig="997" w14:anchorId="149672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77.25pt;height:49.5pt" o:ole="">
            <v:imagedata r:id="rId6" o:title=""/>
          </v:shape>
          <o:OLEObject Type="Embed" ProgID="Word.Document.12" ShapeID="_x0000_i1045" DrawAspect="Icon" ObjectID="_1823152896" r:id="rId7">
            <o:FieldCodes>\s</o:FieldCodes>
          </o:OLEObject>
        </w:object>
      </w:r>
      <w:r w:rsidRPr="00AD77DC">
        <w:rPr>
          <w:rFonts w:ascii="Times New Roman" w:hAnsi="Times New Roman" w:cs="Times New Roman"/>
        </w:rPr>
        <w:t>buvo įspėtos, kad jos privalo atnaujinti savo įmonės vidaus kontrolės politiką ir rašytines vidaus kontrolės procedūras ir dėl Europos Sąjungos sankcijų laikymosi, ypač atsižvelgiant į 2014 m. liepos 31 d. Tarybos reglamento (ES) Nr. 833/2014 dėl ribojamųjų priemonių atsižvelgiant į Rusijos veiksmus, kuriais destabilizuojama padėtis Ukrainoje (toliau – Reglamentas Nr. 833/2014), 12g straipsnio</w:t>
      </w:r>
      <w:r w:rsidRPr="00AD77DC">
        <w:rPr>
          <w:rFonts w:ascii="Times New Roman" w:hAnsi="Times New Roman" w:cs="Times New Roman"/>
          <w:vertAlign w:val="superscript"/>
        </w:rPr>
        <w:footnoteReference w:id="1"/>
      </w:r>
      <w:r w:rsidRPr="00AD77DC">
        <w:rPr>
          <w:rFonts w:ascii="Times New Roman" w:hAnsi="Times New Roman" w:cs="Times New Roman"/>
        </w:rPr>
        <w:t xml:space="preserve"> ir 2006 m. gegužės 18 d. Tarybos reglamento (EB) Nr. 765/2006 dėl ribojančių priemonių Prezidentui Lukašenkai ir tam tikriems Baltarusijos pareigūnams (toliau – Reglamentas Nr. 765/2006), 8 g straipsnio</w:t>
      </w:r>
      <w:r w:rsidRPr="00AD77DC">
        <w:rPr>
          <w:rFonts w:ascii="Times New Roman" w:hAnsi="Times New Roman" w:cs="Times New Roman"/>
          <w:vertAlign w:val="superscript"/>
        </w:rPr>
        <w:footnoteReference w:id="2"/>
      </w:r>
      <w:r w:rsidRPr="00AD77DC">
        <w:rPr>
          <w:rFonts w:ascii="Times New Roman" w:hAnsi="Times New Roman" w:cs="Times New Roman"/>
        </w:rPr>
        <w:t xml:space="preserve"> nuostatas, ir  turėti parengtą, įgyvendinamą ir reguliariai atnaujinamą vidaus kontrolės politiką, vidaus kontrolės priemonių ir procedūrų vykdymo planą dėl Europos Sąjungos (toliau – ES) sankcijų laikymosi (išsamaus patikrinimo dėl ribojamųjų priemonių taikymo) (toliau – planas)</w:t>
      </w:r>
      <w:r w:rsidRPr="00AD77DC">
        <w:rPr>
          <w:rFonts w:ascii="Times New Roman" w:hAnsi="Times New Roman" w:cs="Times New Roman"/>
          <w:vertAlign w:val="superscript"/>
        </w:rPr>
        <w:footnoteReference w:id="3"/>
      </w:r>
      <w:r w:rsidRPr="00AD77DC">
        <w:rPr>
          <w:rFonts w:ascii="Times New Roman" w:hAnsi="Times New Roman" w:cs="Times New Roman"/>
        </w:rPr>
        <w:t>, o toks planas turi būti parengtas atsižvelgdami į įmonės verslo modelį, geografines sritis ir verslo ypatumus, taip pat į klientų ir verslo partnerių rizikos vertinimo rezultatus. Reguliariai atnaujinant planą, siūlytume nepamiršti į jį įtraukti ir nacionalinių ribojamųjų priemonių laikymosi, nustatytų 2023 m. balandžio 20 d. Lietuvos Respublikos ribojamųjų priemonių dėl karinės agresijos prieš Ukrainą nustatymo įstatymu Nr. XIV-1888 ir numatytų Lietuvos Respublikos Vyriausybės 2024 m. gegužės 29 d. nutarime Nr. </w:t>
      </w:r>
      <w:bookmarkStart w:id="1" w:name="nbb08166c7394401f85609464fbe62fa0"/>
      <w:r w:rsidRPr="00AD77DC">
        <w:rPr>
          <w:rFonts w:ascii="Times New Roman" w:hAnsi="Times New Roman" w:cs="Times New Roman"/>
        </w:rPr>
        <w:fldChar w:fldCharType="begin"/>
      </w:r>
      <w:r w:rsidRPr="00AD77DC">
        <w:rPr>
          <w:rFonts w:ascii="Times New Roman" w:hAnsi="Times New Roman" w:cs="Times New Roman"/>
        </w:rPr>
        <w:instrText>HYPERLINK "https://www.infolex.lt/ta/950620" \o "Dėl Draudžiamų į Lietuvos Respubliką importuoti Rusijos Federacijos ar Baltarusijos Respublikos kilmės žemės ūkio produktų ir pašarų sąrašo patvirtinimo" \t "_blank"</w:instrText>
      </w:r>
      <w:r w:rsidRPr="00AD77DC">
        <w:rPr>
          <w:rFonts w:ascii="Times New Roman" w:hAnsi="Times New Roman" w:cs="Times New Roman"/>
        </w:rPr>
      </w:r>
      <w:r w:rsidRPr="00AD77DC">
        <w:rPr>
          <w:rFonts w:ascii="Times New Roman" w:hAnsi="Times New Roman" w:cs="Times New Roman"/>
        </w:rPr>
        <w:fldChar w:fldCharType="separate"/>
      </w:r>
      <w:r w:rsidRPr="00AD77DC">
        <w:rPr>
          <w:rStyle w:val="Hyperlink"/>
          <w:rFonts w:ascii="Times New Roman" w:hAnsi="Times New Roman" w:cs="Times New Roman"/>
        </w:rPr>
        <w:t>396</w:t>
      </w:r>
      <w:r w:rsidRPr="00AD77DC">
        <w:rPr>
          <w:rFonts w:ascii="Times New Roman" w:hAnsi="Times New Roman" w:cs="Times New Roman"/>
        </w:rPr>
        <w:fldChar w:fldCharType="end"/>
      </w:r>
      <w:bookmarkEnd w:id="1"/>
      <w:r w:rsidRPr="00AD77DC">
        <w:rPr>
          <w:rFonts w:ascii="Times New Roman" w:hAnsi="Times New Roman" w:cs="Times New Roman"/>
        </w:rPr>
        <w:t xml:space="preserve"> „Dėl </w:t>
      </w:r>
      <w:r w:rsidRPr="00AD77DC">
        <w:rPr>
          <w:rFonts w:ascii="Times New Roman" w:hAnsi="Times New Roman" w:cs="Times New Roman"/>
        </w:rPr>
        <w:lastRenderedPageBreak/>
        <w:t>Draudžiamų į Lietuvos Respubliką importuoti Rusijos Federacijos ar Baltarusijos Respublikos kilmės žemės ūkio produktų ir pašarų sąrašo patvirtinimo“</w:t>
      </w:r>
      <w:r w:rsidRPr="00AD77DC">
        <w:rPr>
          <w:rFonts w:ascii="Times New Roman" w:hAnsi="Times New Roman" w:cs="Times New Roman"/>
          <w:vertAlign w:val="superscript"/>
        </w:rPr>
        <w:footnoteReference w:id="4"/>
      </w:r>
      <w:r w:rsidRPr="00AD77DC">
        <w:rPr>
          <w:rFonts w:ascii="Times New Roman" w:hAnsi="Times New Roman" w:cs="Times New Roman"/>
        </w:rPr>
        <w:t>.</w:t>
      </w:r>
    </w:p>
    <w:p w14:paraId="734177D0" w14:textId="77777777" w:rsidR="00AD77DC" w:rsidRPr="00AD77DC" w:rsidRDefault="00AD77DC" w:rsidP="00AD77DC">
      <w:pPr>
        <w:jc w:val="both"/>
        <w:rPr>
          <w:rFonts w:ascii="Times New Roman" w:hAnsi="Times New Roman" w:cs="Times New Roman"/>
        </w:rPr>
      </w:pPr>
      <w:r w:rsidRPr="00AD77DC">
        <w:rPr>
          <w:rFonts w:ascii="Times New Roman" w:hAnsi="Times New Roman" w:cs="Times New Roman"/>
        </w:rPr>
        <w:t>Toks planas ir įdiegtos konkrečios priemonės turėtų apimti:</w:t>
      </w:r>
    </w:p>
    <w:p w14:paraId="319E66FE" w14:textId="77777777" w:rsidR="00AD77DC" w:rsidRPr="00AD77DC" w:rsidRDefault="00AD77DC" w:rsidP="00AD77DC">
      <w:pPr>
        <w:jc w:val="both"/>
        <w:rPr>
          <w:rFonts w:ascii="Times New Roman" w:hAnsi="Times New Roman" w:cs="Times New Roman"/>
        </w:rPr>
      </w:pPr>
      <w:r w:rsidRPr="00AD77DC">
        <w:rPr>
          <w:rFonts w:ascii="Times New Roman" w:hAnsi="Times New Roman" w:cs="Times New Roman"/>
        </w:rPr>
        <w:t>1. ne tik pačios įmonės, bet ir jos klientų reikalavimų laikymąsi, kad vadovaujantis Reglamento Nr. 833/2014 12g straipsnio ir Reglamento Nr. 765/2006 8 g straipsnio nuostatomis, įmonės ir jos klientų sudarytose sutartyse su verslo partneriais, eksportuojant ir (ar) išgabenant prekes į trečiąsias šalis, kurių atžvilgiu taikomos tarptautinės sankcijos, būtų nurodytas draudimas minėtų reglamentų straipsniuose nurodytas prekes gabenti į Rusiją ir Baltarusiją, taip pat numatytos tinkamos gynimo priemonės (pavyzdžiui, adekvačios sankcijos, baudos) už šių reikalavimų nesilaikymą ir tinkamos tokių numatytų reikalavimų laikymosi savikontrolės priemonės (pavyzdžiui, numatytas ir realiai vykdomas reikalavimas pateikti patvirtintas išleidimo į laisvą apyvartą muitinės deklaracijų iš paskirties šalies kopijas), ir teikti muitinei paprašius kitą informaciją, kaip numatyta šiame straipsnyje;</w:t>
      </w:r>
    </w:p>
    <w:p w14:paraId="24E1DEA4" w14:textId="378AB872" w:rsidR="00AD77DC" w:rsidRPr="00AD77DC" w:rsidRDefault="00AD77DC" w:rsidP="00AD77DC">
      <w:pPr>
        <w:jc w:val="both"/>
        <w:rPr>
          <w:rFonts w:ascii="Times New Roman" w:hAnsi="Times New Roman" w:cs="Times New Roman"/>
        </w:rPr>
      </w:pPr>
      <w:r w:rsidRPr="00AD77DC">
        <w:rPr>
          <w:rFonts w:ascii="Times New Roman" w:hAnsi="Times New Roman" w:cs="Times New Roman"/>
        </w:rPr>
        <w:t>2. įsipareigojimą, kad įmonė neteiks paslaugų, susijusių su muitinės prižiūrimomis prekėmis, asmenims, kurių muitinės ir (ar) kituose susijusiuose  dokumentuose bus nurodyti arba bus nustatytos sąsajos su pirmiau nurodytuose reglamentuose ir (ar) 2014 m. kovo 17 d. Tarybos reglamento (EB) Nr. 269/2014 dėl ribojamųjų priemonių, taikytinų atsižvelgiant į veiksmus, kuriais kenkiama Ukrainos teritoriniam vientisumui, suverenitetui ir nepriklausomybei arba į juos kėsinamasi, nurodytais (įskaitant reglamento priedus) fiziniais ar juridiniais asmenimis, kuriems taikomos tarptautinės sankcijos;</w:t>
      </w:r>
    </w:p>
    <w:p w14:paraId="0826EE2E" w14:textId="3E4149B1" w:rsidR="00AD77DC" w:rsidRPr="00AD77DC" w:rsidRDefault="00AD77DC" w:rsidP="00AD77DC">
      <w:pPr>
        <w:jc w:val="both"/>
        <w:rPr>
          <w:rFonts w:ascii="Times New Roman" w:hAnsi="Times New Roman" w:cs="Times New Roman"/>
        </w:rPr>
      </w:pPr>
      <w:r w:rsidRPr="00AD77DC">
        <w:rPr>
          <w:rFonts w:ascii="Times New Roman" w:hAnsi="Times New Roman" w:cs="Times New Roman"/>
        </w:rPr>
        <w:t>3. įsipareigojimą, kad įmonė, prieš vykdydama eksportą iš Lietuvos ir Europos Sąjungos į bet kurią šalį (išskyrus nurodytas Reglamento Nr. 833/2014 VIII priede ir Reglamento Nr. 765/2006  </w:t>
      </w:r>
      <w:proofErr w:type="spellStart"/>
      <w:r w:rsidRPr="00AD77DC">
        <w:rPr>
          <w:rFonts w:ascii="Times New Roman" w:hAnsi="Times New Roman" w:cs="Times New Roman"/>
        </w:rPr>
        <w:t>Vb</w:t>
      </w:r>
      <w:proofErr w:type="spellEnd"/>
      <w:r w:rsidRPr="00AD77DC">
        <w:rPr>
          <w:rFonts w:ascii="Times New Roman" w:hAnsi="Times New Roman" w:cs="Times New Roman"/>
        </w:rPr>
        <w:t> priede: JAV, Japoniją, Jungtinę Karalystę, Pietų Korėją, Australiją, Kanadą, Naująją Zelandiją, Norvegiją, Šveicariją ir Islandiją), identifikuos ir vertins prekių ar technologijų patekimo, eksporto į Rusiją ir Baltarusiją  ir eksporto naudojimui Rusijoje ir Baltarusijoje riziką, ir užtikrins, kad tie rizikos vertinimai būtų dokumentuojami (išsaugant įrodymus, kad toks rizikos vertinimas tikrai buvo atliktas) ir nuolat atnaujinami, kaip numatyta Reglamento Nr. 833/2014 12gb ir Reglamento Nr. 765/2006 8ga straipsniuose;</w:t>
      </w:r>
    </w:p>
    <w:p w14:paraId="588C21D1" w14:textId="69B4EAAF" w:rsidR="00AD77DC" w:rsidRPr="00AD77DC" w:rsidRDefault="00AD77DC" w:rsidP="00AD77DC">
      <w:pPr>
        <w:jc w:val="both"/>
        <w:rPr>
          <w:rFonts w:ascii="Times New Roman" w:hAnsi="Times New Roman" w:cs="Times New Roman"/>
        </w:rPr>
      </w:pPr>
      <w:r w:rsidRPr="00AD77DC">
        <w:rPr>
          <w:rFonts w:ascii="Times New Roman" w:hAnsi="Times New Roman" w:cs="Times New Roman"/>
        </w:rPr>
        <w:t>4. įsipareigojimą, kad įmonė, teikdama paslaugas, susijusias su muitinės prižiūrimomis prekėmis, identifikuos rizikingas prekes (pavyzdžiui, programinės įrangos priemonėmis pagal prekės aprašymo fragmentus ir (ar) prekių KN kodus) ir nevykdys jokių veiksmų su prekėmis, kurios yra ar galimai yra įtrauktos į ES (</w:t>
      </w:r>
      <w:hyperlink r:id="rId8" w:history="1">
        <w:r w:rsidRPr="00AD77DC">
          <w:rPr>
            <w:rStyle w:val="Hyperlink"/>
            <w:rFonts w:ascii="Times New Roman" w:hAnsi="Times New Roman" w:cs="Times New Roman"/>
          </w:rPr>
          <w:t>https://eur-lex.europa.eu/legal-content/LT/TXT/?uri=CELEX:52024XG01945</w:t>
        </w:r>
      </w:hyperlink>
      <w:r w:rsidRPr="00AD77DC">
        <w:rPr>
          <w:rFonts w:ascii="Times New Roman" w:hAnsi="Times New Roman" w:cs="Times New Roman"/>
        </w:rPr>
        <w:t>) ir (ar) Lietuvos Bendrąjį karinės įrangos sąrašą (https://e-seimas.lrs.lt/portal/legalAct/lt/TAD/TAIS.363589/asr) ar eksportuojamomis prekėmis, kurios yra ar gali būti priskiriamos dvejopo naudojimo prekėms (</w:t>
      </w:r>
      <w:hyperlink r:id="rId9" w:history="1">
        <w:r w:rsidRPr="00AD77DC">
          <w:rPr>
            <w:rStyle w:val="Hyperlink"/>
            <w:rFonts w:ascii="Times New Roman" w:hAnsi="Times New Roman" w:cs="Times New Roman"/>
          </w:rPr>
          <w:t>https://circabc.europa.eu/ui/group/0e5f18c2-4b2f-42e9-aed4-dfe50ae1263b/library/c3d06bd7-6ef0-4771-bbd7-f92b976ae9a0</w:t>
        </w:r>
      </w:hyperlink>
      <w:r w:rsidRPr="00AD77DC">
        <w:rPr>
          <w:rFonts w:ascii="Times New Roman" w:hAnsi="Times New Roman" w:cs="Times New Roman"/>
        </w:rPr>
        <w:t>), kol nebus gauta atitinkama licencija arba kompetentingos institucijos raštiškas patvirtinimas, kad tokia licencija konkrečiu atveju nėra reikalinga;</w:t>
      </w:r>
    </w:p>
    <w:p w14:paraId="12FA373B" w14:textId="77777777" w:rsidR="00AD77DC" w:rsidRPr="00AD77DC" w:rsidRDefault="00AD77DC" w:rsidP="00AD77DC">
      <w:pPr>
        <w:jc w:val="both"/>
        <w:rPr>
          <w:rFonts w:ascii="Times New Roman" w:hAnsi="Times New Roman" w:cs="Times New Roman"/>
        </w:rPr>
      </w:pPr>
      <w:r w:rsidRPr="00AD77DC">
        <w:rPr>
          <w:rFonts w:ascii="Times New Roman" w:hAnsi="Times New Roman" w:cs="Times New Roman"/>
        </w:rPr>
        <w:lastRenderedPageBreak/>
        <w:t>5. įsipareigojimą, kad įmonė laikysis ir visų kitų draudimų ir apribojimų, ES sankcijų ir nacionalinių ribojamųjų priemonių, nustatytų taisyklių ir reikalavimų, nurodytų pirmiau nurodytuose ir kituose galiojančiuose teisės aktuose.</w:t>
      </w:r>
    </w:p>
    <w:p w14:paraId="24257FEB" w14:textId="77777777" w:rsidR="00AD77DC" w:rsidRPr="00AD77DC" w:rsidRDefault="00AD77DC" w:rsidP="00AD77DC">
      <w:pPr>
        <w:jc w:val="both"/>
        <w:rPr>
          <w:rFonts w:ascii="Times New Roman" w:hAnsi="Times New Roman" w:cs="Times New Roman"/>
        </w:rPr>
      </w:pPr>
      <w:r w:rsidRPr="00AD77DC">
        <w:rPr>
          <w:rFonts w:ascii="Times New Roman" w:hAnsi="Times New Roman" w:cs="Times New Roman"/>
        </w:rPr>
        <w:t>Taip pat primename, kad užtikrinant Įgyvendinimo reglamento 25 straipsnio i punkte nustatytą sąlygą, įmonėje privalo būti nustatyta ir užtikrinta aiški tvarka, pagal kurią atitinkamiems darbuotojams būtų pateikti nurodymai informuoti muitinę apie bet kokius įvykius ar veiksmus, kurie gali vėliau padaryti poveikį turimam AEO leidimo galiojimui, tarp jų – ir teikti informaciją muitinei kiekvieną sykį, kai išaiškinami įmonei taikomų reikalavimų laikymosi sunkumai, o tokie informacijos mainai tarp AEO leidimo turėtojo ir muitinės</w:t>
      </w:r>
      <w:r w:rsidRPr="00AD77DC">
        <w:rPr>
          <w:rFonts w:ascii="Times New Roman" w:hAnsi="Times New Roman" w:cs="Times New Roman"/>
          <w:vertAlign w:val="superscript"/>
        </w:rPr>
        <w:footnoteReference w:id="5"/>
      </w:r>
      <w:r w:rsidRPr="00AD77DC">
        <w:rPr>
          <w:rFonts w:ascii="Times New Roman" w:hAnsi="Times New Roman" w:cs="Times New Roman"/>
        </w:rPr>
        <w:t xml:space="preserve"> privalo vykti nustatyta tvarka.  </w:t>
      </w:r>
    </w:p>
    <w:p w14:paraId="4DA917A9" w14:textId="12D8E6A9" w:rsidR="00AD77DC" w:rsidRPr="00AD77DC" w:rsidRDefault="005E3FB7" w:rsidP="00AD77DC">
      <w:pPr>
        <w:jc w:val="both"/>
        <w:rPr>
          <w:rFonts w:ascii="Times New Roman" w:hAnsi="Times New Roman" w:cs="Times New Roman"/>
        </w:rPr>
      </w:pPr>
      <w:r>
        <w:rPr>
          <w:rFonts w:ascii="Times New Roman" w:hAnsi="Times New Roman" w:cs="Times New Roman"/>
        </w:rPr>
        <w:t>P</w:t>
      </w:r>
      <w:r w:rsidR="00AD77DC" w:rsidRPr="00AD77DC">
        <w:rPr>
          <w:rFonts w:ascii="Times New Roman" w:hAnsi="Times New Roman" w:cs="Times New Roman"/>
        </w:rPr>
        <w:t xml:space="preserve">rašytume Jūsų, jei pirmiau minėtas planas būtų atnaujinamas ir (arba) keičiamas, informuoti apie tai muitinę nustatyta tvarka EOS priemonėmis. </w:t>
      </w:r>
    </w:p>
    <w:p w14:paraId="72E5F867" w14:textId="77777777" w:rsidR="006B0186" w:rsidRPr="00AD77DC" w:rsidRDefault="006B0186" w:rsidP="00AD77DC">
      <w:pPr>
        <w:jc w:val="both"/>
        <w:rPr>
          <w:rFonts w:ascii="Times New Roman" w:hAnsi="Times New Roman" w:cs="Times New Roman"/>
        </w:rPr>
      </w:pPr>
    </w:p>
    <w:sectPr w:rsidR="006B0186" w:rsidRPr="00AD77DC" w:rsidSect="006B018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35779" w14:textId="77777777" w:rsidR="00DD4A32" w:rsidRDefault="00DD4A32" w:rsidP="00AD77DC">
      <w:pPr>
        <w:spacing w:after="0" w:line="240" w:lineRule="auto"/>
      </w:pPr>
      <w:r>
        <w:separator/>
      </w:r>
    </w:p>
  </w:endnote>
  <w:endnote w:type="continuationSeparator" w:id="0">
    <w:p w14:paraId="5F5351F3" w14:textId="77777777" w:rsidR="00DD4A32" w:rsidRDefault="00DD4A32" w:rsidP="00AD7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2EE12" w14:textId="77777777" w:rsidR="00DD4A32" w:rsidRDefault="00DD4A32" w:rsidP="00AD77DC">
      <w:pPr>
        <w:spacing w:after="0" w:line="240" w:lineRule="auto"/>
      </w:pPr>
      <w:r>
        <w:separator/>
      </w:r>
    </w:p>
  </w:footnote>
  <w:footnote w:type="continuationSeparator" w:id="0">
    <w:p w14:paraId="09997742" w14:textId="77777777" w:rsidR="00DD4A32" w:rsidRDefault="00DD4A32" w:rsidP="00AD77DC">
      <w:pPr>
        <w:spacing w:after="0" w:line="240" w:lineRule="auto"/>
      </w:pPr>
      <w:r>
        <w:continuationSeparator/>
      </w:r>
    </w:p>
  </w:footnote>
  <w:footnote w:id="1">
    <w:p w14:paraId="6AFD9E8F" w14:textId="77777777" w:rsidR="00AD77DC" w:rsidRDefault="00AD77DC" w:rsidP="00AD77DC">
      <w:pPr>
        <w:pStyle w:val="FootnoteText"/>
      </w:pPr>
      <w:r>
        <w:rPr>
          <w:rStyle w:val="FootnoteReference"/>
          <w:rFonts w:eastAsiaTheme="majorEastAsia"/>
        </w:rPr>
        <w:footnoteRef/>
      </w:r>
      <w:r>
        <w:t xml:space="preserve"> </w:t>
      </w:r>
      <w:hyperlink r:id="rId1" w:history="1">
        <w:r>
          <w:rPr>
            <w:rStyle w:val="Hyperlink"/>
            <w:rFonts w:eastAsiaTheme="majorEastAsia"/>
          </w:rPr>
          <w:t>https://eur-lex.europa.eu/legal-content/LT/TXT/?uri=CELEX%3A02014R0833-20250720</w:t>
        </w:r>
      </w:hyperlink>
      <w:r>
        <w:t xml:space="preserve"> </w:t>
      </w:r>
    </w:p>
  </w:footnote>
  <w:footnote w:id="2">
    <w:p w14:paraId="1EB8D0EF" w14:textId="77777777" w:rsidR="00AD77DC" w:rsidRDefault="00AD77DC" w:rsidP="00AD77DC">
      <w:pPr>
        <w:pStyle w:val="FootnoteText"/>
      </w:pPr>
      <w:r>
        <w:rPr>
          <w:rStyle w:val="FootnoteReference"/>
          <w:rFonts w:eastAsiaTheme="majorEastAsia"/>
        </w:rPr>
        <w:footnoteRef/>
      </w:r>
      <w:r>
        <w:t xml:space="preserve"> </w:t>
      </w:r>
      <w:hyperlink r:id="rId2" w:history="1">
        <w:r>
          <w:rPr>
            <w:rStyle w:val="Hyperlink"/>
            <w:rFonts w:eastAsiaTheme="majorEastAsia"/>
          </w:rPr>
          <w:t>https://eur-lex.europa.eu/legal-content/LT/TXT/?uri=CELEX%3A02006R0765-20250720</w:t>
        </w:r>
      </w:hyperlink>
      <w:r>
        <w:t xml:space="preserve"> </w:t>
      </w:r>
    </w:p>
  </w:footnote>
  <w:footnote w:id="3">
    <w:p w14:paraId="33341367" w14:textId="77777777" w:rsidR="00AD77DC" w:rsidRDefault="00AD77DC" w:rsidP="00AD77DC">
      <w:pPr>
        <w:pStyle w:val="FootnoteText"/>
      </w:pPr>
      <w:r>
        <w:rPr>
          <w:rStyle w:val="FootnoteReference"/>
          <w:rFonts w:eastAsiaTheme="majorEastAsia"/>
        </w:rPr>
        <w:footnoteRef/>
      </w:r>
      <w:r>
        <w:t xml:space="preserve"> </w:t>
      </w:r>
      <w:hyperlink r:id="rId3" w:history="1">
        <w:r>
          <w:rPr>
            <w:rStyle w:val="Hyperlink"/>
            <w:rFonts w:eastAsiaTheme="majorEastAsia"/>
          </w:rPr>
          <w:t>https://finmin.lrv.lt/lt/es-ir-tarptautinis-bendradarbiavimas/praktines-gaires-ekonomines-veiklos-vykdytojams/</w:t>
        </w:r>
      </w:hyperlink>
      <w:r>
        <w:t xml:space="preserve"> </w:t>
      </w:r>
    </w:p>
  </w:footnote>
  <w:footnote w:id="4">
    <w:p w14:paraId="6FD92132" w14:textId="77777777" w:rsidR="00AD77DC" w:rsidRDefault="00AD77DC" w:rsidP="00AD77DC">
      <w:pPr>
        <w:pStyle w:val="FootnoteText"/>
      </w:pPr>
      <w:r>
        <w:rPr>
          <w:rStyle w:val="FootnoteReference"/>
          <w:rFonts w:eastAsiaTheme="majorEastAsia"/>
        </w:rPr>
        <w:footnoteRef/>
      </w:r>
      <w:r>
        <w:t xml:space="preserve"> </w:t>
      </w:r>
      <w:hyperlink r:id="rId4" w:history="1">
        <w:r>
          <w:rPr>
            <w:rStyle w:val="Hyperlink"/>
            <w:rFonts w:eastAsiaTheme="majorEastAsia"/>
          </w:rPr>
          <w:t>https://e-seimas.lrs.lt/portal/legalAct/lt/TAD/f3db7bd41dad11efb121d2fe3a0eff27</w:t>
        </w:r>
      </w:hyperlink>
      <w:r>
        <w:t xml:space="preserve"> </w:t>
      </w:r>
    </w:p>
  </w:footnote>
  <w:footnote w:id="5">
    <w:p w14:paraId="77DB5FA4" w14:textId="77777777" w:rsidR="00AD77DC" w:rsidRDefault="00AD77DC" w:rsidP="00AD77DC">
      <w:pPr>
        <w:pStyle w:val="FootnoteText"/>
        <w:jc w:val="both"/>
      </w:pPr>
      <w:r>
        <w:rPr>
          <w:rStyle w:val="FootnoteReference"/>
          <w:rFonts w:eastAsiaTheme="majorEastAsia"/>
        </w:rPr>
        <w:footnoteRef/>
      </w:r>
      <w:r>
        <w:t xml:space="preserve"> Visi su AEO leidimais susijusios informacijos mainai tarp muitinės ir pareiškėjo vykdomi naudojantis EOS sistema per ES verslininkų portalą, prieinamą adresu: </w:t>
      </w:r>
      <w:hyperlink r:id="rId5" w:history="1">
        <w:r>
          <w:rPr>
            <w:rStyle w:val="Hyperlink"/>
            <w:rFonts w:eastAsiaTheme="majorEastAsia"/>
          </w:rPr>
          <w:t>https://customs.ec.europa.eu/gtp/m</w:t>
        </w:r>
      </w:hyperlink>
      <w:r>
        <w:t>, kaip nustatyta</w:t>
      </w:r>
      <w:r>
        <w:rPr>
          <w:sz w:val="24"/>
        </w:rPr>
        <w:t xml:space="preserve"> </w:t>
      </w:r>
      <w:r>
        <w:t>Įgyvendinimo reglamento 30 straipsnyje ir Įgaliotojo ekonominės veiklos vykdytojo statuso suteikimo, statuso galiojimo sustabdymo ir atšaukimo tvarkos aprašo, patvirtinto Muitinės departamento prie Lietuvos Respublikos finansų ministerijos generalinio direktoriaus 2007 m. spalio 26 d. įsakymu Nr. 1B-713 „Dėl Įgaliotojo ekonominės veiklos vykdytojo statuso suteikimo, statuso galiojimo sustabdymo ir atšaukimo tvarkos aprašo patvirtinimo“, 2.3 ir 2.4 papunkčiuose.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DC"/>
    <w:rsid w:val="000C659B"/>
    <w:rsid w:val="00445061"/>
    <w:rsid w:val="005E3FB7"/>
    <w:rsid w:val="00680B90"/>
    <w:rsid w:val="006B0186"/>
    <w:rsid w:val="007C43AB"/>
    <w:rsid w:val="007D5E58"/>
    <w:rsid w:val="00831AF8"/>
    <w:rsid w:val="008B38CE"/>
    <w:rsid w:val="00991469"/>
    <w:rsid w:val="00AD77DC"/>
    <w:rsid w:val="00BB7A8B"/>
    <w:rsid w:val="00BD1553"/>
    <w:rsid w:val="00D17D24"/>
    <w:rsid w:val="00DD4A32"/>
    <w:rsid w:val="00EB3F97"/>
    <w:rsid w:val="00F82C2C"/>
    <w:rsid w:val="00FB7F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64E6A"/>
  <w15:chartTrackingRefBased/>
  <w15:docId w15:val="{D72813BE-0881-4010-97A8-05E25703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7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7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7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7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7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7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7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7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7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7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7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7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DC"/>
    <w:rPr>
      <w:rFonts w:eastAsiaTheme="majorEastAsia" w:cstheme="majorBidi"/>
      <w:color w:val="272727" w:themeColor="text1" w:themeTint="D8"/>
    </w:rPr>
  </w:style>
  <w:style w:type="paragraph" w:styleId="Title">
    <w:name w:val="Title"/>
    <w:basedOn w:val="Normal"/>
    <w:next w:val="Normal"/>
    <w:link w:val="TitleChar"/>
    <w:uiPriority w:val="10"/>
    <w:qFormat/>
    <w:rsid w:val="00AD77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DC"/>
    <w:pPr>
      <w:spacing w:before="160"/>
      <w:jc w:val="center"/>
    </w:pPr>
    <w:rPr>
      <w:i/>
      <w:iCs/>
      <w:color w:val="404040" w:themeColor="text1" w:themeTint="BF"/>
    </w:rPr>
  </w:style>
  <w:style w:type="character" w:customStyle="1" w:styleId="QuoteChar">
    <w:name w:val="Quote Char"/>
    <w:basedOn w:val="DefaultParagraphFont"/>
    <w:link w:val="Quote"/>
    <w:uiPriority w:val="29"/>
    <w:rsid w:val="00AD77DC"/>
    <w:rPr>
      <w:i/>
      <w:iCs/>
      <w:color w:val="404040" w:themeColor="text1" w:themeTint="BF"/>
    </w:rPr>
  </w:style>
  <w:style w:type="paragraph" w:styleId="ListParagraph">
    <w:name w:val="List Paragraph"/>
    <w:basedOn w:val="Normal"/>
    <w:uiPriority w:val="34"/>
    <w:qFormat/>
    <w:rsid w:val="00AD77DC"/>
    <w:pPr>
      <w:ind w:left="720"/>
      <w:contextualSpacing/>
    </w:pPr>
  </w:style>
  <w:style w:type="character" w:styleId="IntenseEmphasis">
    <w:name w:val="Intense Emphasis"/>
    <w:basedOn w:val="DefaultParagraphFont"/>
    <w:uiPriority w:val="21"/>
    <w:qFormat/>
    <w:rsid w:val="00AD77DC"/>
    <w:rPr>
      <w:i/>
      <w:iCs/>
      <w:color w:val="0F4761" w:themeColor="accent1" w:themeShade="BF"/>
    </w:rPr>
  </w:style>
  <w:style w:type="paragraph" w:styleId="IntenseQuote">
    <w:name w:val="Intense Quote"/>
    <w:basedOn w:val="Normal"/>
    <w:next w:val="Normal"/>
    <w:link w:val="IntenseQuoteChar"/>
    <w:uiPriority w:val="30"/>
    <w:qFormat/>
    <w:rsid w:val="00AD77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7DC"/>
    <w:rPr>
      <w:i/>
      <w:iCs/>
      <w:color w:val="0F4761" w:themeColor="accent1" w:themeShade="BF"/>
    </w:rPr>
  </w:style>
  <w:style w:type="character" w:styleId="IntenseReference">
    <w:name w:val="Intense Reference"/>
    <w:basedOn w:val="DefaultParagraphFont"/>
    <w:uiPriority w:val="32"/>
    <w:qFormat/>
    <w:rsid w:val="00AD77DC"/>
    <w:rPr>
      <w:b/>
      <w:bCs/>
      <w:smallCaps/>
      <w:color w:val="0F4761" w:themeColor="accent1" w:themeShade="BF"/>
      <w:spacing w:val="5"/>
    </w:rPr>
  </w:style>
  <w:style w:type="character" w:styleId="Hyperlink">
    <w:name w:val="Hyperlink"/>
    <w:uiPriority w:val="99"/>
    <w:unhideWhenUsed/>
    <w:rsid w:val="00AD77DC"/>
    <w:rPr>
      <w:color w:val="0000FF"/>
      <w:u w:val="single"/>
    </w:rPr>
  </w:style>
  <w:style w:type="paragraph" w:styleId="FootnoteText">
    <w:name w:val="footnote text"/>
    <w:basedOn w:val="Normal"/>
    <w:link w:val="FootnoteTextChar"/>
    <w:uiPriority w:val="99"/>
    <w:semiHidden/>
    <w:unhideWhenUsed/>
    <w:rsid w:val="00AD77DC"/>
    <w:pPr>
      <w:spacing w:after="0" w:line="240" w:lineRule="auto"/>
    </w:pPr>
    <w:rPr>
      <w:rFonts w:ascii="Times New Roman" w:eastAsia="Times New Roman" w:hAnsi="Times New Roman"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AD77D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AD77DC"/>
    <w:rPr>
      <w:vertAlign w:val="superscript"/>
    </w:rPr>
  </w:style>
  <w:style w:type="character" w:styleId="UnresolvedMention">
    <w:name w:val="Unresolved Mention"/>
    <w:basedOn w:val="DefaultParagraphFont"/>
    <w:uiPriority w:val="99"/>
    <w:semiHidden/>
    <w:unhideWhenUsed/>
    <w:rsid w:val="00AD7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14754">
      <w:bodyDiv w:val="1"/>
      <w:marLeft w:val="0"/>
      <w:marRight w:val="0"/>
      <w:marTop w:val="0"/>
      <w:marBottom w:val="0"/>
      <w:divBdr>
        <w:top w:val="none" w:sz="0" w:space="0" w:color="auto"/>
        <w:left w:val="none" w:sz="0" w:space="0" w:color="auto"/>
        <w:bottom w:val="none" w:sz="0" w:space="0" w:color="auto"/>
        <w:right w:val="none" w:sz="0" w:space="0" w:color="auto"/>
      </w:divBdr>
    </w:div>
    <w:div w:id="1870413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T/TXT/?uri=CELEX:52024XG01945" TargetMode="External"/><Relationship Id="rId3" Type="http://schemas.openxmlformats.org/officeDocument/2006/relationships/webSettings" Target="webSettings.xml"/><Relationship Id="rId7" Type="http://schemas.openxmlformats.org/officeDocument/2006/relationships/package" Target="embeddings/Microsoft_Word_Document.doc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ircabc.europa.eu/ui/group/0e5f18c2-4b2f-42e9-aed4-dfe50ae1263b/library/c3d06bd7-6ef0-4771-bbd7-f92b976ae9a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finmin.lrv.lt/lt/es-ir-tarptautinis-bendradarbiavimas/praktines-gaires-ekonomines-veiklos-vykdytojams/" TargetMode="External"/><Relationship Id="rId2" Type="http://schemas.openxmlformats.org/officeDocument/2006/relationships/hyperlink" Target="https://eur-lex.europa.eu/legal-content/LT/TXT/?uri=CELEX%3A02006R0765-20250720" TargetMode="External"/><Relationship Id="rId1" Type="http://schemas.openxmlformats.org/officeDocument/2006/relationships/hyperlink" Target="https://eur-lex.europa.eu/legal-content/LT/TXT/?uri=CELEX%3A02014R0833-20250720" TargetMode="External"/><Relationship Id="rId5" Type="http://schemas.openxmlformats.org/officeDocument/2006/relationships/hyperlink" Target="https://customs.ec.europa.eu/gtp/m" TargetMode="External"/><Relationship Id="rId4" Type="http://schemas.openxmlformats.org/officeDocument/2006/relationships/hyperlink" Target="https://e-seimas.lrs.lt/portal/legalAct/lt/TAD/f3db7bd41dad11efb121d2fe3a0eff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70</TotalTime>
  <Pages>3</Pages>
  <Words>5352</Words>
  <Characters>3052</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Birutė Jukumienė</dc:creator>
  <cp:keywords/>
  <dc:description/>
  <cp:lastModifiedBy>Monika Birutė Jukumienė</cp:lastModifiedBy>
  <cp:revision>13</cp:revision>
  <dcterms:created xsi:type="dcterms:W3CDTF">2025-10-22T12:14:00Z</dcterms:created>
  <dcterms:modified xsi:type="dcterms:W3CDTF">2025-10-28T08:35:00Z</dcterms:modified>
</cp:coreProperties>
</file>