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BB29A" w14:textId="77777777" w:rsidR="003F6165" w:rsidRPr="00FF2B74" w:rsidRDefault="002D39C5" w:rsidP="00DB63E0">
      <w:pPr>
        <w:spacing w:before="120" w:after="120"/>
        <w:rPr>
          <w:b/>
          <w:sz w:val="26"/>
          <w:szCs w:val="26"/>
          <w:lang w:val="lt-LT"/>
        </w:rPr>
      </w:pPr>
      <w:r w:rsidRPr="00FF2B74">
        <w:rPr>
          <w:b/>
          <w:sz w:val="26"/>
          <w:szCs w:val="26"/>
          <w:lang w:val="lt-LT"/>
        </w:rPr>
        <w:t xml:space="preserve">Pagrindiniai </w:t>
      </w:r>
      <w:r w:rsidR="00186952" w:rsidRPr="00FF2B74">
        <w:rPr>
          <w:b/>
          <w:sz w:val="26"/>
          <w:szCs w:val="26"/>
          <w:lang w:val="lt-LT"/>
        </w:rPr>
        <w:t>ES</w:t>
      </w:r>
      <w:r w:rsidR="003F6165" w:rsidRPr="00FF2B74">
        <w:rPr>
          <w:b/>
          <w:sz w:val="26"/>
          <w:szCs w:val="26"/>
          <w:lang w:val="lt-LT"/>
        </w:rPr>
        <w:t xml:space="preserve"> muitų teisės aktai</w:t>
      </w:r>
    </w:p>
    <w:p w14:paraId="5162BDC8" w14:textId="77777777" w:rsidR="00212D1F" w:rsidRDefault="00677443" w:rsidP="00212D1F">
      <w:pPr>
        <w:rPr>
          <w:szCs w:val="24"/>
          <w:lang w:val="lt-LT"/>
        </w:rPr>
      </w:pPr>
      <w:r>
        <w:rPr>
          <w:szCs w:val="24"/>
          <w:lang w:val="lt-LT"/>
        </w:rPr>
        <w:t>ES</w:t>
      </w:r>
      <w:r w:rsidR="003F6165" w:rsidRPr="003F6165">
        <w:rPr>
          <w:szCs w:val="24"/>
          <w:lang w:val="lt-LT"/>
        </w:rPr>
        <w:t xml:space="preserve"> muitų teisės aktai</w:t>
      </w:r>
      <w:r w:rsidR="003F6165">
        <w:rPr>
          <w:szCs w:val="24"/>
          <w:lang w:val="lt-LT"/>
        </w:rPr>
        <w:t xml:space="preserve"> – tai teisės aktų visuma, kurią sudaro:</w:t>
      </w:r>
    </w:p>
    <w:p w14:paraId="78B0870B" w14:textId="77777777" w:rsidR="004A37D1" w:rsidRDefault="00677443" w:rsidP="00CD6F8F">
      <w:pPr>
        <w:pStyle w:val="Sraopastraipa"/>
        <w:numPr>
          <w:ilvl w:val="0"/>
          <w:numId w:val="6"/>
        </w:numPr>
        <w:rPr>
          <w:szCs w:val="24"/>
          <w:lang w:val="lt-LT"/>
        </w:rPr>
      </w:pPr>
      <w:r w:rsidRPr="004A37D1">
        <w:rPr>
          <w:szCs w:val="24"/>
          <w:lang w:val="lt-LT"/>
        </w:rPr>
        <w:t>Sąjungos</w:t>
      </w:r>
      <w:r w:rsidR="003F6165" w:rsidRPr="004A37D1">
        <w:rPr>
          <w:szCs w:val="24"/>
          <w:lang w:val="lt-LT"/>
        </w:rPr>
        <w:t xml:space="preserve"> muitinės kodeksas</w:t>
      </w:r>
      <w:r w:rsidRPr="004A37D1">
        <w:rPr>
          <w:szCs w:val="24"/>
          <w:lang w:val="lt-LT"/>
        </w:rPr>
        <w:t xml:space="preserve"> ir jį papildančios ar įgyvendinančios nuostatos, priimtos ES lygiu</w:t>
      </w:r>
    </w:p>
    <w:p w14:paraId="18CF0476" w14:textId="77777777" w:rsidR="004A37D1" w:rsidRDefault="003F6165" w:rsidP="00077F35">
      <w:pPr>
        <w:pStyle w:val="Sraopastraipa"/>
        <w:numPr>
          <w:ilvl w:val="0"/>
          <w:numId w:val="6"/>
        </w:numPr>
        <w:rPr>
          <w:szCs w:val="24"/>
          <w:lang w:val="lt-LT"/>
        </w:rPr>
      </w:pPr>
      <w:r w:rsidRPr="004A37D1">
        <w:rPr>
          <w:szCs w:val="24"/>
          <w:lang w:val="lt-LT"/>
        </w:rPr>
        <w:t>Bendrasis muitų tarifas</w:t>
      </w:r>
    </w:p>
    <w:p w14:paraId="7397E215" w14:textId="77777777" w:rsidR="004A37D1" w:rsidRDefault="003F6165" w:rsidP="0055165F">
      <w:pPr>
        <w:pStyle w:val="Sraopastraipa"/>
        <w:numPr>
          <w:ilvl w:val="0"/>
          <w:numId w:val="6"/>
        </w:numPr>
        <w:jc w:val="both"/>
        <w:rPr>
          <w:szCs w:val="24"/>
          <w:lang w:val="lt-LT"/>
        </w:rPr>
      </w:pPr>
      <w:r w:rsidRPr="004A37D1">
        <w:rPr>
          <w:szCs w:val="24"/>
          <w:lang w:val="lt-LT"/>
        </w:rPr>
        <w:t xml:space="preserve">teisės aktai, nustatantys </w:t>
      </w:r>
      <w:r w:rsidR="00BB7B0A" w:rsidRPr="004A37D1">
        <w:rPr>
          <w:szCs w:val="24"/>
          <w:lang w:val="lt-LT"/>
        </w:rPr>
        <w:t xml:space="preserve">Sąjungos </w:t>
      </w:r>
      <w:r w:rsidRPr="004A37D1">
        <w:rPr>
          <w:szCs w:val="24"/>
          <w:lang w:val="lt-LT"/>
        </w:rPr>
        <w:t>atleidimo nuo muitų sistemą</w:t>
      </w:r>
    </w:p>
    <w:p w14:paraId="1619D51B" w14:textId="77777777" w:rsidR="0030542C" w:rsidRDefault="003F6165" w:rsidP="00F939E9">
      <w:pPr>
        <w:pStyle w:val="Sraopastraipa"/>
        <w:numPr>
          <w:ilvl w:val="0"/>
          <w:numId w:val="6"/>
        </w:numPr>
        <w:jc w:val="both"/>
        <w:rPr>
          <w:szCs w:val="24"/>
          <w:lang w:val="lt-LT"/>
        </w:rPr>
      </w:pPr>
      <w:r w:rsidRPr="0030542C">
        <w:rPr>
          <w:szCs w:val="24"/>
          <w:lang w:val="lt-LT"/>
        </w:rPr>
        <w:t>tarptautiniai susitarimai, kuriuose yra su muitų teise susijusių nuostatų</w:t>
      </w:r>
      <w:r w:rsidR="00677443" w:rsidRPr="0030542C">
        <w:rPr>
          <w:szCs w:val="24"/>
          <w:lang w:val="lt-LT"/>
        </w:rPr>
        <w:t>, kiek jie taikomi ES</w:t>
      </w:r>
    </w:p>
    <w:p w14:paraId="62E599F6" w14:textId="2BE2EDE8" w:rsidR="00C41193" w:rsidRPr="003F1B6D" w:rsidRDefault="00FB4714" w:rsidP="00160AD2">
      <w:pPr>
        <w:pStyle w:val="Sraopastraipa"/>
        <w:numPr>
          <w:ilvl w:val="0"/>
          <w:numId w:val="6"/>
        </w:numPr>
        <w:jc w:val="both"/>
        <w:rPr>
          <w:szCs w:val="24"/>
          <w:lang w:val="lt-LT"/>
        </w:rPr>
      </w:pPr>
      <w:bookmarkStart w:id="0" w:name="_Hlk182572041"/>
      <w:r w:rsidRPr="003F1B6D">
        <w:rPr>
          <w:szCs w:val="24"/>
          <w:lang w:val="lt-LT"/>
        </w:rPr>
        <w:t>R</w:t>
      </w:r>
      <w:r w:rsidR="00277EF2" w:rsidRPr="003F1B6D">
        <w:rPr>
          <w:szCs w:val="24"/>
          <w:lang w:val="lt-LT"/>
        </w:rPr>
        <w:t xml:space="preserve">eglamentas (ES) </w:t>
      </w:r>
      <w:hyperlink r:id="rId6" w:history="1">
        <w:r w:rsidR="00277EF2" w:rsidRPr="001B5A0D">
          <w:rPr>
            <w:rStyle w:val="Hipersaitas"/>
            <w:szCs w:val="24"/>
            <w:lang w:val="lt-LT"/>
          </w:rPr>
          <w:t>2022/2399</w:t>
        </w:r>
      </w:hyperlink>
      <w:r w:rsidR="00482E08" w:rsidRPr="003F1B6D">
        <w:rPr>
          <w:szCs w:val="24"/>
          <w:lang w:val="lt-LT"/>
        </w:rPr>
        <w:t>, kuriuo sukuriama Europos Sąjungos muitinės vieno langelio aplinka</w:t>
      </w:r>
      <w:r w:rsidR="00D64F65" w:rsidRPr="003F1B6D">
        <w:rPr>
          <w:szCs w:val="24"/>
          <w:lang w:val="lt-LT"/>
        </w:rPr>
        <w:t xml:space="preserve">, taip pat </w:t>
      </w:r>
      <w:r w:rsidR="00D64F65" w:rsidRPr="00583083">
        <w:rPr>
          <w:szCs w:val="24"/>
          <w:lang w:val="lt-LT"/>
        </w:rPr>
        <w:t xml:space="preserve">jį </w:t>
      </w:r>
      <w:hyperlink r:id="rId7" w:history="1">
        <w:r w:rsidR="00277EF2" w:rsidRPr="00E13939">
          <w:rPr>
            <w:rStyle w:val="Hipersaitas"/>
            <w:szCs w:val="24"/>
            <w:lang w:val="lt-LT"/>
          </w:rPr>
          <w:t>papildančios</w:t>
        </w:r>
      </w:hyperlink>
      <w:r w:rsidR="00277EF2" w:rsidRPr="00583083">
        <w:rPr>
          <w:szCs w:val="24"/>
          <w:lang w:val="lt-LT"/>
        </w:rPr>
        <w:t xml:space="preserve"> </w:t>
      </w:r>
      <w:r w:rsidR="00D64F65" w:rsidRPr="00583083">
        <w:rPr>
          <w:szCs w:val="24"/>
          <w:lang w:val="lt-LT"/>
        </w:rPr>
        <w:t>i</w:t>
      </w:r>
      <w:r w:rsidR="00277EF2" w:rsidRPr="00583083">
        <w:rPr>
          <w:szCs w:val="24"/>
          <w:lang w:val="lt-LT"/>
        </w:rPr>
        <w:t>r</w:t>
      </w:r>
      <w:r w:rsidR="00D64F65" w:rsidRPr="00583083">
        <w:rPr>
          <w:szCs w:val="24"/>
          <w:lang w:val="lt-LT"/>
        </w:rPr>
        <w:t xml:space="preserve"> </w:t>
      </w:r>
      <w:hyperlink r:id="rId8" w:history="1">
        <w:r w:rsidR="00277EF2" w:rsidRPr="00E13939">
          <w:rPr>
            <w:rStyle w:val="Hipersaitas"/>
            <w:szCs w:val="24"/>
            <w:lang w:val="lt-LT"/>
          </w:rPr>
          <w:t>įgyvendinančios</w:t>
        </w:r>
      </w:hyperlink>
      <w:r w:rsidR="00277EF2" w:rsidRPr="003F1B6D">
        <w:rPr>
          <w:szCs w:val="24"/>
          <w:lang w:val="lt-LT"/>
        </w:rPr>
        <w:t xml:space="preserve"> nuostatos</w:t>
      </w:r>
      <w:r w:rsidR="007B7E9D" w:rsidRPr="003F1B6D">
        <w:rPr>
          <w:szCs w:val="24"/>
          <w:lang w:val="lt-LT"/>
        </w:rPr>
        <w:t xml:space="preserve"> </w:t>
      </w:r>
    </w:p>
    <w:bookmarkEnd w:id="0"/>
    <w:p w14:paraId="62C7BD8D" w14:textId="77777777" w:rsidR="00EA553C" w:rsidRPr="00FF2B74" w:rsidRDefault="00EA553C" w:rsidP="003F6165">
      <w:pPr>
        <w:spacing w:before="120"/>
        <w:rPr>
          <w:b/>
          <w:sz w:val="26"/>
          <w:szCs w:val="26"/>
          <w:lang w:val="lt-LT"/>
        </w:rPr>
      </w:pPr>
      <w:r w:rsidRPr="00FF2B74">
        <w:rPr>
          <w:b/>
          <w:sz w:val="26"/>
          <w:szCs w:val="26"/>
          <w:lang w:val="lt-LT"/>
        </w:rPr>
        <w:t>Paieška</w:t>
      </w:r>
    </w:p>
    <w:p w14:paraId="0DBD40AE" w14:textId="0BBCEB3A" w:rsidR="0030327C" w:rsidRDefault="00C64DA3" w:rsidP="006C4943">
      <w:pPr>
        <w:spacing w:before="120"/>
        <w:rPr>
          <w:lang w:val="lt-LT"/>
        </w:rPr>
      </w:pPr>
      <w:r>
        <w:rPr>
          <w:lang w:val="lt-LT"/>
        </w:rPr>
        <w:t>N</w:t>
      </w:r>
      <w:r w:rsidRPr="00C64DA3">
        <w:rPr>
          <w:lang w:val="lt-LT"/>
        </w:rPr>
        <w:t>emokamą tiesioginę prieigą prie ES teisės</w:t>
      </w:r>
      <w:r>
        <w:rPr>
          <w:lang w:val="lt-LT"/>
        </w:rPr>
        <w:t xml:space="preserve"> suteikia</w:t>
      </w:r>
      <w:r w:rsidR="006C4943">
        <w:rPr>
          <w:lang w:val="lt-LT"/>
        </w:rPr>
        <w:t xml:space="preserve"> </w:t>
      </w:r>
      <w:hyperlink r:id="rId9" w:history="1">
        <w:r w:rsidR="00CA272F">
          <w:rPr>
            <w:rStyle w:val="Hipersaitas"/>
            <w:lang w:val="lt-LT"/>
          </w:rPr>
          <w:t>paieškos sistema EUR-LEX</w:t>
        </w:r>
      </w:hyperlink>
      <w:r w:rsidR="00042A71">
        <w:rPr>
          <w:lang w:val="lt-LT"/>
        </w:rPr>
        <w:t>, kurioje gal</w:t>
      </w:r>
      <w:r w:rsidRPr="00C64DA3">
        <w:rPr>
          <w:lang w:val="lt-LT"/>
        </w:rPr>
        <w:t xml:space="preserve">ima rasti ES oficialųjį leidinį, sutartis, </w:t>
      </w:r>
      <w:r w:rsidR="00DB63E0">
        <w:rPr>
          <w:lang w:val="lt-LT"/>
        </w:rPr>
        <w:t xml:space="preserve">kitus </w:t>
      </w:r>
      <w:r w:rsidRPr="00C64DA3">
        <w:rPr>
          <w:lang w:val="lt-LT"/>
        </w:rPr>
        <w:t>teisės aktus, teismo praktiką ir teisėkūros pasiūlymus</w:t>
      </w:r>
    </w:p>
    <w:p w14:paraId="3067173F" w14:textId="77777777" w:rsidR="00EA553C" w:rsidRPr="00FF2B74" w:rsidRDefault="00EA553C" w:rsidP="003F6165">
      <w:pPr>
        <w:spacing w:before="120"/>
        <w:rPr>
          <w:b/>
          <w:sz w:val="26"/>
          <w:szCs w:val="26"/>
          <w:lang w:val="lt-LT"/>
        </w:rPr>
      </w:pPr>
      <w:r w:rsidRPr="00FF2B74">
        <w:rPr>
          <w:b/>
          <w:sz w:val="26"/>
          <w:szCs w:val="26"/>
          <w:lang w:val="lt-LT"/>
        </w:rPr>
        <w:t>Oficialusis leidinys</w:t>
      </w:r>
    </w:p>
    <w:p w14:paraId="7DF3A306" w14:textId="77777777" w:rsidR="00C62F19" w:rsidRDefault="00C62F19" w:rsidP="003E36E7">
      <w:pPr>
        <w:spacing w:before="120"/>
        <w:jc w:val="both"/>
        <w:rPr>
          <w:lang w:val="lt-LT"/>
        </w:rPr>
      </w:pPr>
      <w:r w:rsidRPr="00C62F19">
        <w:rPr>
          <w:szCs w:val="24"/>
          <w:lang w:val="lt-LT"/>
        </w:rPr>
        <w:t>ES</w:t>
      </w:r>
      <w:r>
        <w:rPr>
          <w:szCs w:val="24"/>
          <w:lang w:val="lt-LT"/>
        </w:rPr>
        <w:t xml:space="preserve"> teisės aktai</w:t>
      </w:r>
      <w:r w:rsidR="00042A71">
        <w:rPr>
          <w:szCs w:val="24"/>
          <w:lang w:val="lt-LT"/>
        </w:rPr>
        <w:t xml:space="preserve">, informacija ir pranešimai skelbiami </w:t>
      </w:r>
      <w:r w:rsidR="0027142D">
        <w:rPr>
          <w:szCs w:val="24"/>
          <w:lang w:val="lt-LT"/>
        </w:rPr>
        <w:t xml:space="preserve">ES </w:t>
      </w:r>
      <w:hyperlink r:id="rId10" w:history="1">
        <w:r w:rsidR="00042A71" w:rsidRPr="008920D3">
          <w:rPr>
            <w:rStyle w:val="Hipersaitas"/>
            <w:szCs w:val="24"/>
            <w:lang w:val="lt-LT"/>
          </w:rPr>
          <w:t>o</w:t>
        </w:r>
        <w:r w:rsidR="0063589F" w:rsidRPr="008920D3">
          <w:rPr>
            <w:rStyle w:val="Hipersaitas"/>
            <w:lang w:val="lt-LT"/>
          </w:rPr>
          <w:t>ficiali</w:t>
        </w:r>
        <w:r w:rsidR="00042A71" w:rsidRPr="008920D3">
          <w:rPr>
            <w:rStyle w:val="Hipersaitas"/>
            <w:lang w:val="lt-LT"/>
          </w:rPr>
          <w:t>ajame leidinyje</w:t>
        </w:r>
      </w:hyperlink>
      <w:r w:rsidR="00042A71">
        <w:rPr>
          <w:lang w:val="lt-LT"/>
        </w:rPr>
        <w:t xml:space="preserve">. Šio leidinio </w:t>
      </w:r>
      <w:r w:rsidR="0063589F" w:rsidRPr="0063589F">
        <w:rPr>
          <w:lang w:val="lt-LT"/>
        </w:rPr>
        <w:t xml:space="preserve">L </w:t>
      </w:r>
      <w:r w:rsidR="00042A71">
        <w:rPr>
          <w:lang w:val="lt-LT"/>
        </w:rPr>
        <w:t xml:space="preserve">serijoje skelbiami ES </w:t>
      </w:r>
      <w:r w:rsidR="0063589F" w:rsidRPr="0063589F">
        <w:rPr>
          <w:lang w:val="lt-LT"/>
        </w:rPr>
        <w:t>teisės aktai</w:t>
      </w:r>
      <w:r w:rsidR="00042A71">
        <w:rPr>
          <w:lang w:val="lt-LT"/>
        </w:rPr>
        <w:t>,</w:t>
      </w:r>
      <w:r w:rsidR="0063589F" w:rsidRPr="0063589F">
        <w:rPr>
          <w:lang w:val="lt-LT"/>
        </w:rPr>
        <w:t xml:space="preserve"> C </w:t>
      </w:r>
      <w:r w:rsidR="00042A71">
        <w:rPr>
          <w:lang w:val="lt-LT"/>
        </w:rPr>
        <w:t xml:space="preserve">serijoje </w:t>
      </w:r>
      <w:r w:rsidR="00541F26">
        <w:rPr>
          <w:lang w:val="lt-LT"/>
        </w:rPr>
        <w:t>–</w:t>
      </w:r>
      <w:r w:rsidR="00042A71">
        <w:rPr>
          <w:lang w:val="lt-LT"/>
        </w:rPr>
        <w:t xml:space="preserve"> </w:t>
      </w:r>
      <w:r w:rsidR="0063589F" w:rsidRPr="0063589F">
        <w:rPr>
          <w:lang w:val="lt-LT"/>
        </w:rPr>
        <w:t>informacija ir pranešimai</w:t>
      </w:r>
      <w:r w:rsidR="0027142D">
        <w:rPr>
          <w:lang w:val="lt-LT"/>
        </w:rPr>
        <w:t xml:space="preserve"> (įskaitant </w:t>
      </w:r>
      <w:r w:rsidR="00CA272F">
        <w:rPr>
          <w:lang w:val="lt-LT"/>
        </w:rPr>
        <w:t xml:space="preserve">EB </w:t>
      </w:r>
      <w:r w:rsidR="0027142D">
        <w:rPr>
          <w:lang w:val="lt-LT"/>
        </w:rPr>
        <w:t>Teisingumo Teismo pranešimus)</w:t>
      </w:r>
      <w:r w:rsidR="00DB63E0">
        <w:rPr>
          <w:lang w:val="lt-LT"/>
        </w:rPr>
        <w:t>.</w:t>
      </w:r>
    </w:p>
    <w:p w14:paraId="06C226E7" w14:textId="77777777" w:rsidR="004F34E6" w:rsidRPr="008B6462" w:rsidRDefault="004F34E6" w:rsidP="006A3E2F">
      <w:pPr>
        <w:spacing w:before="120"/>
        <w:jc w:val="both"/>
        <w:rPr>
          <w:b/>
          <w:sz w:val="26"/>
          <w:szCs w:val="26"/>
          <w:lang w:val="lt-LT"/>
        </w:rPr>
      </w:pPr>
      <w:r w:rsidRPr="008B6462">
        <w:rPr>
          <w:b/>
          <w:sz w:val="26"/>
          <w:szCs w:val="26"/>
          <w:lang w:val="lt-LT"/>
        </w:rPr>
        <w:t>Sąjungos muitinės kodeksas</w:t>
      </w:r>
      <w:r w:rsidR="001262A6">
        <w:rPr>
          <w:b/>
          <w:sz w:val="26"/>
          <w:szCs w:val="26"/>
          <w:lang w:val="lt-LT"/>
        </w:rPr>
        <w:t xml:space="preserve"> ir jį papildančios ir įgyvendinančios nuostatos</w:t>
      </w:r>
    </w:p>
    <w:p w14:paraId="615B19FF" w14:textId="04653BDB" w:rsidR="001262A6" w:rsidRDefault="004F34E6" w:rsidP="006A3E2F">
      <w:pPr>
        <w:spacing w:before="120"/>
        <w:jc w:val="both"/>
        <w:rPr>
          <w:szCs w:val="24"/>
          <w:lang w:val="lt-LT"/>
        </w:rPr>
      </w:pPr>
      <w:r w:rsidRPr="008B6462">
        <w:rPr>
          <w:szCs w:val="24"/>
          <w:lang w:val="lt-LT"/>
        </w:rPr>
        <w:t xml:space="preserve">2013 m. spalio 9 d. Europos Parlamento ir Tarybos reglamentu (ES) </w:t>
      </w:r>
      <w:hyperlink r:id="rId11" w:history="1">
        <w:r w:rsidRPr="00684CA6">
          <w:rPr>
            <w:rStyle w:val="Hipersaitas"/>
            <w:color w:val="0066FF"/>
            <w:szCs w:val="24"/>
            <w:lang w:val="lt-LT"/>
          </w:rPr>
          <w:t>Nr. 952/2013</w:t>
        </w:r>
      </w:hyperlink>
      <w:r w:rsidRPr="00684CA6">
        <w:rPr>
          <w:color w:val="C00000"/>
          <w:szCs w:val="24"/>
          <w:lang w:val="lt-LT"/>
        </w:rPr>
        <w:t xml:space="preserve"> </w:t>
      </w:r>
      <w:r w:rsidRPr="00684CA6">
        <w:rPr>
          <w:szCs w:val="24"/>
          <w:lang w:val="lt-LT"/>
        </w:rPr>
        <w:t>p</w:t>
      </w:r>
      <w:r w:rsidRPr="008B6462">
        <w:rPr>
          <w:szCs w:val="24"/>
          <w:lang w:val="lt-LT"/>
        </w:rPr>
        <w:t>atvirtintas Sąjungos muitinės kodeksas</w:t>
      </w:r>
      <w:r w:rsidR="001262A6">
        <w:rPr>
          <w:szCs w:val="24"/>
          <w:lang w:val="lt-LT"/>
        </w:rPr>
        <w:t>, nustatantis bendrąsias taisykles ir procedūras, taikomas į Sąjungos muitų teritoriją įvežamoms</w:t>
      </w:r>
      <w:r w:rsidR="00B90AF8">
        <w:rPr>
          <w:szCs w:val="24"/>
          <w:lang w:val="lt-LT"/>
        </w:rPr>
        <w:t xml:space="preserve"> </w:t>
      </w:r>
      <w:r w:rsidR="002A0C52" w:rsidRPr="00853E1A">
        <w:rPr>
          <w:szCs w:val="24"/>
          <w:lang w:val="lt-LT"/>
        </w:rPr>
        <w:t xml:space="preserve">ar iš jos išvežamoms </w:t>
      </w:r>
      <w:r w:rsidR="001262A6" w:rsidRPr="00853E1A">
        <w:rPr>
          <w:szCs w:val="24"/>
          <w:lang w:val="lt-LT"/>
        </w:rPr>
        <w:t xml:space="preserve"> </w:t>
      </w:r>
      <w:r w:rsidR="001262A6">
        <w:rPr>
          <w:szCs w:val="24"/>
          <w:lang w:val="lt-LT"/>
        </w:rPr>
        <w:t>prekėms</w:t>
      </w:r>
      <w:r w:rsidR="00567E0D" w:rsidRPr="0095103F">
        <w:rPr>
          <w:szCs w:val="24"/>
          <w:lang w:val="lt-LT"/>
        </w:rPr>
        <w:t>.</w:t>
      </w:r>
      <w:r w:rsidR="009432AD" w:rsidRPr="0095103F">
        <w:rPr>
          <w:szCs w:val="24"/>
          <w:lang w:val="lt-LT"/>
        </w:rPr>
        <w:t xml:space="preserve"> </w:t>
      </w:r>
    </w:p>
    <w:p w14:paraId="7359BA39" w14:textId="169186BE" w:rsidR="002C77F4" w:rsidRPr="006346AF" w:rsidRDefault="001262A6" w:rsidP="00583083">
      <w:pPr>
        <w:spacing w:before="120"/>
        <w:jc w:val="both"/>
        <w:rPr>
          <w:lang w:val="lt-LT"/>
        </w:rPr>
      </w:pPr>
      <w:r>
        <w:rPr>
          <w:szCs w:val="24"/>
          <w:lang w:val="lt-LT"/>
        </w:rPr>
        <w:t xml:space="preserve">Sąjungos muitinės kodeksu Europos Komisijai suteikti įgaliojimai </w:t>
      </w:r>
      <w:r w:rsidR="00387078">
        <w:rPr>
          <w:szCs w:val="24"/>
          <w:lang w:val="lt-LT"/>
        </w:rPr>
        <w:t xml:space="preserve">(juos galima rasti Sąjungos </w:t>
      </w:r>
      <w:r w:rsidR="00387078" w:rsidRPr="006E53D3">
        <w:rPr>
          <w:szCs w:val="24"/>
          <w:lang w:val="lt-LT"/>
        </w:rPr>
        <w:t xml:space="preserve">muitinės kodekso straipsniuose „Įgaliojimų delegavimas“) </w:t>
      </w:r>
      <w:r w:rsidRPr="006E53D3">
        <w:rPr>
          <w:szCs w:val="24"/>
          <w:lang w:val="lt-LT"/>
        </w:rPr>
        <w:t>papildyti tam tikrus neesminius Sąjungos</w:t>
      </w:r>
      <w:r>
        <w:rPr>
          <w:szCs w:val="24"/>
          <w:lang w:val="lt-LT"/>
        </w:rPr>
        <w:t xml:space="preserve"> muitinės kodekso elementus ir sudaryti sąlygas tinkamai taikyti Sąjungos muitinės kodekso nuostatas. Remiantis šiais įgaliojimais priimtas </w:t>
      </w:r>
      <w:r w:rsidR="00D70041" w:rsidRPr="001262A6">
        <w:rPr>
          <w:color w:val="000000"/>
          <w:lang w:val="lt-LT"/>
        </w:rPr>
        <w:t xml:space="preserve">2015 m. liepos 28 d. Komisijos deleguotasis </w:t>
      </w:r>
      <w:r w:rsidR="00D70041" w:rsidRPr="00AA781D">
        <w:rPr>
          <w:color w:val="000000"/>
          <w:lang w:val="lt-LT"/>
        </w:rPr>
        <w:t xml:space="preserve">reglamentas </w:t>
      </w:r>
      <w:r w:rsidR="00D70041" w:rsidRPr="00AA781D">
        <w:rPr>
          <w:lang w:val="lt-LT"/>
        </w:rPr>
        <w:t>(ES)</w:t>
      </w:r>
      <w:r w:rsidR="00D70041" w:rsidRPr="00AA781D">
        <w:rPr>
          <w:color w:val="FF0000"/>
          <w:lang w:val="lt-LT"/>
        </w:rPr>
        <w:t xml:space="preserve"> </w:t>
      </w:r>
      <w:hyperlink r:id="rId12" w:history="1">
        <w:r w:rsidR="00D70041" w:rsidRPr="00996179">
          <w:rPr>
            <w:rStyle w:val="Hipersaitas"/>
            <w:lang w:val="lt-LT"/>
          </w:rPr>
          <w:t>2015/2446</w:t>
        </w:r>
      </w:hyperlink>
      <w:r w:rsidR="00D70041" w:rsidRPr="00AA781D">
        <w:rPr>
          <w:lang w:val="lt-LT"/>
        </w:rPr>
        <w:t>,</w:t>
      </w:r>
      <w:r w:rsidR="00D70041" w:rsidRPr="00AA781D">
        <w:rPr>
          <w:color w:val="000000"/>
          <w:lang w:val="lt-LT"/>
        </w:rPr>
        <w:t xml:space="preserve"> kuriuo Europos Parlamento ir Tarybos reglamentas (ES) Nr.</w:t>
      </w:r>
      <w:r w:rsidR="003748A2" w:rsidRPr="00AA781D">
        <w:rPr>
          <w:color w:val="000000"/>
          <w:lang w:val="lt-LT"/>
        </w:rPr>
        <w:t> </w:t>
      </w:r>
      <w:r w:rsidR="00D70041" w:rsidRPr="00AA781D">
        <w:rPr>
          <w:color w:val="000000"/>
          <w:lang w:val="lt-LT"/>
        </w:rPr>
        <w:t xml:space="preserve">952/2013 papildomas išsamiomis taisyklėmis, kuriomis patikslinamos kai kurios Sąjungos muitinės kodekso </w:t>
      </w:r>
      <w:r w:rsidR="00D70041" w:rsidRPr="006346AF">
        <w:rPr>
          <w:lang w:val="lt-LT"/>
        </w:rPr>
        <w:t>nuostatos</w:t>
      </w:r>
      <w:r w:rsidR="004D2051" w:rsidRPr="00F4391A">
        <w:rPr>
          <w:lang w:val="lt-LT"/>
        </w:rPr>
        <w:t>.</w:t>
      </w:r>
      <w:r w:rsidR="00AA781D" w:rsidRPr="006346AF">
        <w:rPr>
          <w:lang w:val="lt-LT"/>
        </w:rPr>
        <w:t xml:space="preserve"> </w:t>
      </w:r>
    </w:p>
    <w:p w14:paraId="6E1AFC0B" w14:textId="6CCAF844" w:rsidR="00D70041" w:rsidRPr="00EE7CAB" w:rsidRDefault="00387078" w:rsidP="00F30367">
      <w:pPr>
        <w:spacing w:before="120"/>
        <w:jc w:val="both"/>
        <w:rPr>
          <w:lang w:val="lt-LT"/>
        </w:rPr>
      </w:pPr>
      <w:r>
        <w:rPr>
          <w:color w:val="000000"/>
          <w:lang w:val="lt-LT"/>
        </w:rPr>
        <w:t>Sąjungos muitinės kodeksu Europos Komisijai taip pat suteikti įgyvendinimo įgaliojimai (</w:t>
      </w:r>
      <w:r w:rsidRPr="00387078">
        <w:rPr>
          <w:color w:val="000000"/>
          <w:lang w:val="lt-LT"/>
        </w:rPr>
        <w:t>juos galima rasti Sąjungos muitinės kodekso straipsniuose „Įg</w:t>
      </w:r>
      <w:r>
        <w:rPr>
          <w:color w:val="000000"/>
          <w:lang w:val="lt-LT"/>
        </w:rPr>
        <w:t>yvendinimo įg</w:t>
      </w:r>
      <w:r w:rsidRPr="00387078">
        <w:rPr>
          <w:color w:val="000000"/>
          <w:lang w:val="lt-LT"/>
        </w:rPr>
        <w:t xml:space="preserve">aliojimų </w:t>
      </w:r>
      <w:r>
        <w:rPr>
          <w:color w:val="000000"/>
          <w:lang w:val="lt-LT"/>
        </w:rPr>
        <w:t>suteik</w:t>
      </w:r>
      <w:r w:rsidRPr="00387078">
        <w:rPr>
          <w:color w:val="000000"/>
          <w:lang w:val="lt-LT"/>
        </w:rPr>
        <w:t>imas“)</w:t>
      </w:r>
      <w:r>
        <w:rPr>
          <w:color w:val="000000"/>
          <w:lang w:val="lt-LT"/>
        </w:rPr>
        <w:t xml:space="preserve"> nustatyti su atitinkamomis Sąjungos muitinės kodekso nuostatomis susijusias procedūrines taisykles. Remiantis šiais įgaliojimais priimtas </w:t>
      </w:r>
      <w:r w:rsidR="00D70041" w:rsidRPr="00387078">
        <w:rPr>
          <w:color w:val="000000"/>
          <w:lang w:val="lt-LT"/>
        </w:rPr>
        <w:t>2015 m. lapkričio 24 d. Komisijos įgyvendinimo reglamentas (</w:t>
      </w:r>
      <w:r w:rsidR="00D70041" w:rsidRPr="00FA0CDC">
        <w:rPr>
          <w:lang w:val="lt-LT"/>
        </w:rPr>
        <w:t>ES</w:t>
      </w:r>
      <w:r w:rsidR="00D70041" w:rsidRPr="00175D40">
        <w:rPr>
          <w:lang w:val="lt-LT"/>
        </w:rPr>
        <w:t>)</w:t>
      </w:r>
      <w:r w:rsidR="00D70041" w:rsidRPr="00175D40">
        <w:rPr>
          <w:color w:val="FF0000"/>
          <w:lang w:val="lt-LT"/>
        </w:rPr>
        <w:t xml:space="preserve"> </w:t>
      </w:r>
      <w:hyperlink r:id="rId13" w:history="1">
        <w:r w:rsidR="00D70041" w:rsidRPr="006861E2">
          <w:rPr>
            <w:rStyle w:val="Hipersaitas"/>
            <w:highlight w:val="yellow"/>
            <w:lang w:val="lt-LT"/>
          </w:rPr>
          <w:t>2015/244</w:t>
        </w:r>
        <w:r w:rsidR="00D70041" w:rsidRPr="006861E2">
          <w:rPr>
            <w:rStyle w:val="Hipersaitas"/>
            <w:highlight w:val="yellow"/>
            <w:lang w:val="lt-LT"/>
          </w:rPr>
          <w:t>7</w:t>
        </w:r>
      </w:hyperlink>
      <w:r w:rsidR="00D70041" w:rsidRPr="00382CB5">
        <w:rPr>
          <w:lang w:val="lt-LT"/>
        </w:rPr>
        <w:t>,</w:t>
      </w:r>
      <w:r w:rsidR="00D70041" w:rsidRPr="006B6A80">
        <w:rPr>
          <w:lang w:val="lt-LT"/>
        </w:rPr>
        <w:t xml:space="preserve"> </w:t>
      </w:r>
      <w:r w:rsidR="00D70041" w:rsidRPr="00387078">
        <w:rPr>
          <w:color w:val="000000"/>
          <w:lang w:val="lt-LT"/>
        </w:rPr>
        <w:t xml:space="preserve">kuriuo nustatomos išsamios tam tikrų Europos Parlamento ir Tarybos reglamento (ES) Nr. 952/2013, kuriuo nustatomas Sąjungos muitinės kodeksas, nuostatų įgyvendinimo </w:t>
      </w:r>
      <w:r w:rsidR="00D70041" w:rsidRPr="00F30367">
        <w:rPr>
          <w:lang w:val="lt-LT"/>
        </w:rPr>
        <w:t>taisyklės</w:t>
      </w:r>
      <w:r w:rsidR="00E13939">
        <w:rPr>
          <w:lang w:val="lt-LT"/>
        </w:rPr>
        <w:t xml:space="preserve"> </w:t>
      </w:r>
      <w:r w:rsidR="00E13939" w:rsidRPr="006861E2">
        <w:rPr>
          <w:strike/>
          <w:color w:val="EE0000"/>
          <w:lang w:val="lt-LT"/>
        </w:rPr>
        <w:t xml:space="preserve">(pakeistas 2026 m. vasario 13 d. Komisijos įgyvendinimo reglamentu (ES) </w:t>
      </w:r>
      <w:hyperlink r:id="rId14" w:history="1">
        <w:r w:rsidR="00E13939" w:rsidRPr="006861E2">
          <w:rPr>
            <w:rStyle w:val="Hipersaitas"/>
            <w:strike/>
            <w:color w:val="EE0000"/>
            <w:lang w:val="lt-LT"/>
          </w:rPr>
          <w:t>2026/329</w:t>
        </w:r>
      </w:hyperlink>
      <w:r w:rsidR="00E13939" w:rsidRPr="006861E2">
        <w:rPr>
          <w:strike/>
          <w:color w:val="EE0000"/>
          <w:lang w:val="lt-LT"/>
        </w:rPr>
        <w:t>, kuris taikomas nuo 2025 m. lapkričio 1 d.)</w:t>
      </w:r>
      <w:r w:rsidR="00E13939" w:rsidRPr="006861E2">
        <w:rPr>
          <w:lang w:val="lt-LT"/>
        </w:rPr>
        <w:t>.</w:t>
      </w:r>
    </w:p>
    <w:p w14:paraId="1C44320D" w14:textId="5E5B8EB7" w:rsidR="003D481F" w:rsidRPr="00421723" w:rsidRDefault="003748A2" w:rsidP="00AD34A3">
      <w:pPr>
        <w:spacing w:before="120"/>
        <w:jc w:val="both"/>
        <w:rPr>
          <w:lang w:val="lt-LT"/>
        </w:rPr>
      </w:pPr>
      <w:r>
        <w:rPr>
          <w:lang w:val="lt-LT"/>
        </w:rPr>
        <w:t xml:space="preserve">Remiantis Sąjungos muitinės kodekso 6, 7, 131, 153, 156 ir 279 straipsniuose suteiktais įgaliojimai ir atsižvelgus į 278 straipsnį, kuriame numatyta, kad informacijos mainų ir saugojimo priemonės, kurios nėra elektroninės duomenų apdorojimo priemonės, gali būti naudojamos pereinamuoju laikotarpiu, kol dar neveikia Sąjungos muitinės kodekso nuostatoms taikyti būtinos elektroninės sistemos, patvirtintas </w:t>
      </w:r>
      <w:r w:rsidR="00B57AE8" w:rsidRPr="0041565E">
        <w:rPr>
          <w:lang w:val="lt-LT"/>
        </w:rPr>
        <w:t xml:space="preserve">2015 m. gruodžio 17 d. </w:t>
      </w:r>
      <w:r w:rsidR="00B57AE8" w:rsidRPr="003748A2">
        <w:rPr>
          <w:lang w:val="lt-LT"/>
        </w:rPr>
        <w:t xml:space="preserve">Komisijos deleguotasis reglamentas (ES) </w:t>
      </w:r>
      <w:hyperlink r:id="rId15" w:history="1">
        <w:r w:rsidR="00B57AE8" w:rsidRPr="00C945CA">
          <w:rPr>
            <w:rStyle w:val="Hipersaitas"/>
            <w:lang w:val="lt-LT"/>
          </w:rPr>
          <w:t>2016/341</w:t>
        </w:r>
      </w:hyperlink>
      <w:r w:rsidR="00B57AE8" w:rsidRPr="00C945CA">
        <w:rPr>
          <w:lang w:val="lt-LT"/>
        </w:rPr>
        <w:t>,</w:t>
      </w:r>
      <w:r w:rsidR="00B57AE8" w:rsidRPr="0041565E">
        <w:rPr>
          <w:lang w:val="lt-LT"/>
        </w:rPr>
        <w:t xml:space="preserve"> kuriuo Europos Parlamento ir Tarybos reglamentas (ES) Nr.</w:t>
      </w:r>
      <w:r>
        <w:rPr>
          <w:lang w:val="lt-LT"/>
        </w:rPr>
        <w:t> </w:t>
      </w:r>
      <w:r w:rsidR="00B57AE8" w:rsidRPr="0041565E">
        <w:rPr>
          <w:lang w:val="lt-LT"/>
        </w:rPr>
        <w:t>952/2013 papildomas tam tikrų Sąjungos muitinės kodekso nuostatų taikymo pereinamuoju laikotarpiu, kol bus įdiegtos tam tikros elektroninės sistemos, taisyklėmis ir iš dalies keičiamas Deleguotasis reglamentas (ES) 2015/2446</w:t>
      </w:r>
      <w:r w:rsidR="007A597B" w:rsidRPr="00421723">
        <w:rPr>
          <w:lang w:val="lt-LT"/>
        </w:rPr>
        <w:t>.</w:t>
      </w:r>
      <w:r w:rsidR="00AD34A3" w:rsidRPr="00421723">
        <w:rPr>
          <w:lang w:val="lt-LT"/>
        </w:rPr>
        <w:t xml:space="preserve"> </w:t>
      </w:r>
    </w:p>
    <w:p w14:paraId="3BA30438" w14:textId="7EBCEBE9" w:rsidR="0026212A" w:rsidRPr="009E24FD" w:rsidRDefault="003337F5" w:rsidP="003C0F94">
      <w:pPr>
        <w:spacing w:before="120" w:line="259" w:lineRule="auto"/>
        <w:jc w:val="both"/>
        <w:rPr>
          <w:lang w:val="lt-LT"/>
        </w:rPr>
      </w:pPr>
      <w:r w:rsidRPr="009E24FD">
        <w:rPr>
          <w:rFonts w:eastAsia="Calibri"/>
          <w:szCs w:val="22"/>
          <w:lang w:val="lt-LT" w:eastAsia="en-US"/>
        </w:rPr>
        <w:t>2023 m. gruodžio 15 d. Komisijos įgyvendinimo sprendim</w:t>
      </w:r>
      <w:r w:rsidR="009134C6" w:rsidRPr="009E24FD">
        <w:rPr>
          <w:rFonts w:eastAsia="Calibri"/>
          <w:szCs w:val="22"/>
          <w:lang w:val="lt-LT" w:eastAsia="en-US"/>
        </w:rPr>
        <w:t>u</w:t>
      </w:r>
      <w:r w:rsidRPr="009E24FD">
        <w:rPr>
          <w:rFonts w:eastAsia="Calibri"/>
          <w:szCs w:val="22"/>
          <w:lang w:val="lt-LT" w:eastAsia="en-US"/>
        </w:rPr>
        <w:t xml:space="preserve"> (ES) </w:t>
      </w:r>
      <w:hyperlink r:id="rId16" w:history="1">
        <w:r w:rsidRPr="009E24FD">
          <w:rPr>
            <w:rFonts w:eastAsia="Calibri"/>
            <w:color w:val="0000FF"/>
            <w:szCs w:val="22"/>
            <w:u w:val="single"/>
            <w:lang w:val="lt-LT" w:eastAsia="en-US"/>
          </w:rPr>
          <w:t>2023/2879</w:t>
        </w:r>
      </w:hyperlink>
      <w:r w:rsidR="009134C6" w:rsidRPr="009E24FD">
        <w:rPr>
          <w:rFonts w:eastAsia="Calibri"/>
          <w:color w:val="0000FF"/>
          <w:szCs w:val="22"/>
          <w:lang w:val="lt-LT" w:eastAsia="en-US"/>
        </w:rPr>
        <w:t xml:space="preserve"> </w:t>
      </w:r>
      <w:r w:rsidR="003C0F94" w:rsidRPr="009E24FD">
        <w:rPr>
          <w:lang w:val="lt-LT"/>
        </w:rPr>
        <w:t xml:space="preserve"> </w:t>
      </w:r>
      <w:r w:rsidR="0026212A" w:rsidRPr="009E24FD">
        <w:rPr>
          <w:lang w:val="lt-LT"/>
        </w:rPr>
        <w:t xml:space="preserve">patvirtinta </w:t>
      </w:r>
      <w:r w:rsidR="00003C74" w:rsidRPr="009E24FD">
        <w:rPr>
          <w:lang w:val="lt-LT"/>
        </w:rPr>
        <w:t xml:space="preserve">atnaujinta </w:t>
      </w:r>
      <w:r w:rsidR="0026212A" w:rsidRPr="009E24FD">
        <w:rPr>
          <w:lang w:val="lt-LT"/>
        </w:rPr>
        <w:t>darbo programa, susijusi su Sąjungos muitinės kodekse nurodytų elektroninių sistemų kūrimu ir diegimu.</w:t>
      </w:r>
    </w:p>
    <w:p w14:paraId="76F2AA01" w14:textId="77777777" w:rsidR="00787F94" w:rsidRPr="00FF2B74" w:rsidRDefault="00787F94" w:rsidP="00FF2B74">
      <w:pPr>
        <w:spacing w:before="120" w:after="120"/>
        <w:rPr>
          <w:b/>
          <w:sz w:val="26"/>
          <w:szCs w:val="26"/>
          <w:lang w:val="lt-LT"/>
        </w:rPr>
      </w:pPr>
      <w:r w:rsidRPr="00FF2B74">
        <w:rPr>
          <w:b/>
          <w:sz w:val="26"/>
          <w:szCs w:val="26"/>
          <w:lang w:val="lt-LT"/>
        </w:rPr>
        <w:lastRenderedPageBreak/>
        <w:t>Bendrasis muitų tarifas</w:t>
      </w:r>
    </w:p>
    <w:p w14:paraId="5670D815" w14:textId="1A8C70A1" w:rsidR="00787F94" w:rsidRDefault="00787F94" w:rsidP="00FF2B74">
      <w:pPr>
        <w:jc w:val="both"/>
        <w:rPr>
          <w:lang w:val="lt-LT"/>
        </w:rPr>
      </w:pPr>
      <w:r>
        <w:rPr>
          <w:lang w:val="lt-LT"/>
        </w:rPr>
        <w:t xml:space="preserve">Bendrojo muitų tarifo struktūra apibrėžta </w:t>
      </w:r>
      <w:r w:rsidR="004E42C9">
        <w:rPr>
          <w:lang w:val="lt-LT"/>
        </w:rPr>
        <w:t>S</w:t>
      </w:r>
      <w:r w:rsidR="0048592C" w:rsidRPr="004E42C9">
        <w:rPr>
          <w:lang w:val="lt-LT"/>
        </w:rPr>
        <w:t xml:space="preserve">ąjungos muitinės kodekso </w:t>
      </w:r>
      <w:r w:rsidR="00754011" w:rsidRPr="004E42C9">
        <w:rPr>
          <w:lang w:val="lt-LT"/>
        </w:rPr>
        <w:t>56 straipsnyje</w:t>
      </w:r>
      <w:r w:rsidR="00754011">
        <w:rPr>
          <w:lang w:val="lt-LT"/>
        </w:rPr>
        <w:t>.</w:t>
      </w:r>
    </w:p>
    <w:p w14:paraId="78FB26FE" w14:textId="49917C7B" w:rsidR="00105B3F" w:rsidRPr="004E42C9" w:rsidRDefault="00105B3F" w:rsidP="00787F94">
      <w:pPr>
        <w:spacing w:before="120"/>
        <w:jc w:val="both"/>
        <w:rPr>
          <w:lang w:val="lt-LT"/>
        </w:rPr>
      </w:pPr>
      <w:r w:rsidRPr="004E42C9">
        <w:rPr>
          <w:lang w:val="lt-LT"/>
        </w:rPr>
        <w:t>Bendrąjį muitų tarifą sudaro:</w:t>
      </w:r>
    </w:p>
    <w:p w14:paraId="643AABCE" w14:textId="77777777" w:rsidR="0049789C" w:rsidRPr="004E42C9" w:rsidRDefault="00407951" w:rsidP="00407951">
      <w:pPr>
        <w:pStyle w:val="Sraopastraipa"/>
        <w:numPr>
          <w:ilvl w:val="0"/>
          <w:numId w:val="9"/>
        </w:numPr>
        <w:spacing w:before="120"/>
        <w:jc w:val="both"/>
        <w:rPr>
          <w:lang w:val="lt-LT"/>
        </w:rPr>
      </w:pPr>
      <w:r w:rsidRPr="004E42C9">
        <w:rPr>
          <w:lang w:val="lt-LT"/>
        </w:rPr>
        <w:t xml:space="preserve">Kombinuotoji nomenklatūra </w:t>
      </w:r>
    </w:p>
    <w:p w14:paraId="1F16D826" w14:textId="099356D5" w:rsidR="00407951" w:rsidRPr="004E42C9" w:rsidRDefault="00407951" w:rsidP="00407951">
      <w:pPr>
        <w:pStyle w:val="Sraopastraipa"/>
        <w:numPr>
          <w:ilvl w:val="0"/>
          <w:numId w:val="9"/>
        </w:numPr>
        <w:spacing w:before="120"/>
        <w:jc w:val="both"/>
        <w:rPr>
          <w:lang w:val="lt-LT"/>
        </w:rPr>
      </w:pPr>
      <w:r w:rsidRPr="004E42C9">
        <w:rPr>
          <w:lang w:val="lt-LT"/>
        </w:rPr>
        <w:t xml:space="preserve">bet kuri kita nomenklatūra, visa arba iš dalies sudaryta remiantis Kombinuotąja nomenklatūra arba ją papildanti </w:t>
      </w:r>
      <w:proofErr w:type="spellStart"/>
      <w:r w:rsidRPr="004E42C9">
        <w:rPr>
          <w:lang w:val="lt-LT"/>
        </w:rPr>
        <w:t>subpozicijų</w:t>
      </w:r>
      <w:proofErr w:type="spellEnd"/>
      <w:r w:rsidRPr="004E42C9">
        <w:rPr>
          <w:lang w:val="lt-LT"/>
        </w:rPr>
        <w:t xml:space="preserve"> dalimis ir nustatyta konkrečias sritis reglamentuojančiomis Sąjungos nuostatomis, siekiant taikyti su prekyba prekėmis susijusias tarifinio reguliavimo priemones </w:t>
      </w:r>
    </w:p>
    <w:p w14:paraId="4A6EF4CF" w14:textId="05228498" w:rsidR="00407951" w:rsidRPr="004E42C9" w:rsidRDefault="00407951" w:rsidP="00407951">
      <w:pPr>
        <w:pStyle w:val="Sraopastraipa"/>
        <w:numPr>
          <w:ilvl w:val="0"/>
          <w:numId w:val="9"/>
        </w:numPr>
        <w:spacing w:before="120"/>
        <w:jc w:val="both"/>
        <w:rPr>
          <w:lang w:val="lt-LT"/>
        </w:rPr>
      </w:pPr>
      <w:r w:rsidRPr="004E42C9">
        <w:rPr>
          <w:lang w:val="lt-LT"/>
        </w:rPr>
        <w:t>konvencinis arba įprastinis autonominis muitas, taikomas į Kombinuotąją nomenklatūrą įtrauktoms prekėms</w:t>
      </w:r>
    </w:p>
    <w:p w14:paraId="3C4CA371" w14:textId="283EDBB8" w:rsidR="00407951" w:rsidRPr="004E42C9" w:rsidRDefault="00FC08B0" w:rsidP="00FC08B0">
      <w:pPr>
        <w:pStyle w:val="Sraopastraipa"/>
        <w:numPr>
          <w:ilvl w:val="0"/>
          <w:numId w:val="9"/>
        </w:numPr>
        <w:spacing w:before="120"/>
        <w:jc w:val="both"/>
        <w:rPr>
          <w:lang w:val="lt-LT"/>
        </w:rPr>
      </w:pPr>
      <w:r w:rsidRPr="004E42C9">
        <w:rPr>
          <w:lang w:val="lt-LT"/>
        </w:rPr>
        <w:t>k</w:t>
      </w:r>
      <w:r w:rsidR="00932299" w:rsidRPr="004E42C9">
        <w:rPr>
          <w:lang w:val="lt-LT"/>
        </w:rPr>
        <w:t>it</w:t>
      </w:r>
      <w:r w:rsidR="009631D4" w:rsidRPr="004E42C9">
        <w:rPr>
          <w:lang w:val="lt-LT"/>
        </w:rPr>
        <w:t>os</w:t>
      </w:r>
      <w:r w:rsidR="00D73715" w:rsidRPr="004E42C9">
        <w:rPr>
          <w:lang w:val="lt-LT"/>
        </w:rPr>
        <w:t xml:space="preserve"> </w:t>
      </w:r>
      <w:r w:rsidR="00932299" w:rsidRPr="004E42C9">
        <w:rPr>
          <w:lang w:val="lt-LT"/>
        </w:rPr>
        <w:t xml:space="preserve">užsienio prekybos </w:t>
      </w:r>
      <w:r w:rsidR="00D73715" w:rsidRPr="004E42C9">
        <w:rPr>
          <w:lang w:val="lt-LT"/>
        </w:rPr>
        <w:t>tarifinio reguliavimo priemonės</w:t>
      </w:r>
      <w:r w:rsidR="009631D4" w:rsidRPr="004E42C9">
        <w:rPr>
          <w:lang w:val="lt-LT"/>
        </w:rPr>
        <w:t xml:space="preserve"> </w:t>
      </w:r>
    </w:p>
    <w:p w14:paraId="3BB5AF55" w14:textId="5390E702" w:rsidR="00787F94" w:rsidRDefault="00787F94" w:rsidP="00787F94">
      <w:pPr>
        <w:spacing w:before="120"/>
        <w:jc w:val="both"/>
        <w:rPr>
          <w:lang w:val="lt-LT"/>
        </w:rPr>
      </w:pPr>
      <w:r w:rsidRPr="007A0F78">
        <w:rPr>
          <w:lang w:val="lt-LT"/>
        </w:rPr>
        <w:t>Kombinuotosios nomenklatūros tvarkymo ir Bendrojo muitų tarifų administravimo nuostatos išdėstytos Tarybos reglamente (EEB</w:t>
      </w:r>
      <w:r w:rsidRPr="006346AF">
        <w:rPr>
          <w:lang w:val="lt-LT"/>
        </w:rPr>
        <w:t xml:space="preserve">) </w:t>
      </w:r>
      <w:hyperlink r:id="rId17" w:history="1">
        <w:r w:rsidRPr="006346AF">
          <w:rPr>
            <w:rStyle w:val="Hipersaitas"/>
            <w:szCs w:val="24"/>
            <w:lang w:val="lt-LT"/>
          </w:rPr>
          <w:t>Nr. 2658/87</w:t>
        </w:r>
      </w:hyperlink>
      <w:r w:rsidRPr="007A0F78">
        <w:rPr>
          <w:szCs w:val="24"/>
          <w:lang w:val="lt-LT"/>
        </w:rPr>
        <w:t>.</w:t>
      </w:r>
      <w:r>
        <w:rPr>
          <w:lang w:val="lt-LT"/>
        </w:rPr>
        <w:t xml:space="preserve"> </w:t>
      </w:r>
    </w:p>
    <w:p w14:paraId="53EA9C7B" w14:textId="77777777" w:rsidR="00787F94" w:rsidRPr="00FF2B74" w:rsidRDefault="00BB7B0A" w:rsidP="00FF2B74">
      <w:pPr>
        <w:spacing w:before="120" w:after="120"/>
        <w:rPr>
          <w:b/>
          <w:sz w:val="26"/>
          <w:szCs w:val="26"/>
          <w:lang w:val="lt-LT"/>
        </w:rPr>
      </w:pPr>
      <w:r>
        <w:rPr>
          <w:b/>
          <w:sz w:val="26"/>
          <w:szCs w:val="26"/>
          <w:lang w:val="lt-LT"/>
        </w:rPr>
        <w:t>Sąjung</w:t>
      </w:r>
      <w:r w:rsidR="00787F94" w:rsidRPr="00FF2B74">
        <w:rPr>
          <w:b/>
          <w:sz w:val="26"/>
          <w:szCs w:val="26"/>
          <w:lang w:val="lt-LT"/>
        </w:rPr>
        <w:t>os atleidimo nuo muitų sistema</w:t>
      </w:r>
    </w:p>
    <w:p w14:paraId="455162E9" w14:textId="1034EED5" w:rsidR="00483EB6" w:rsidRPr="00483EB6" w:rsidRDefault="00787F94" w:rsidP="00483EB6">
      <w:pPr>
        <w:jc w:val="both"/>
        <w:rPr>
          <w:lang w:val="lt-LT"/>
        </w:rPr>
      </w:pPr>
      <w:r>
        <w:rPr>
          <w:lang w:val="lt-LT"/>
        </w:rPr>
        <w:t xml:space="preserve">Pagrindinis ES muitų teisės aktas, nustatantis atvejus, kai importuojamos/eksportuojamos prekės atleidžiamos nuo muitų – Tarybos reglamentas (EB) </w:t>
      </w:r>
      <w:hyperlink r:id="rId18" w:history="1">
        <w:r w:rsidRPr="004E42C9">
          <w:rPr>
            <w:rStyle w:val="Hipersaitas"/>
            <w:lang w:val="lt-LT"/>
          </w:rPr>
          <w:t>Nr. 1186/2009</w:t>
        </w:r>
      </w:hyperlink>
      <w:r w:rsidRPr="004E42C9">
        <w:rPr>
          <w:lang w:val="lt-LT"/>
        </w:rPr>
        <w:t>,</w:t>
      </w:r>
      <w:r>
        <w:rPr>
          <w:lang w:val="lt-LT"/>
        </w:rPr>
        <w:t xml:space="preserve"> nustatantis Bendrijos atleidimo nuo muitų sistemą</w:t>
      </w:r>
      <w:r w:rsidR="00483EB6">
        <w:rPr>
          <w:lang w:val="lt-LT"/>
        </w:rPr>
        <w:t xml:space="preserve"> </w:t>
      </w:r>
      <w:r w:rsidR="00483EB6" w:rsidRPr="009C0535">
        <w:rPr>
          <w:lang w:val="lt-LT"/>
        </w:rPr>
        <w:t xml:space="preserve">(pakeistas 2026 m. vasario 11 d. Tarybos reglamentu (ES) </w:t>
      </w:r>
      <w:hyperlink r:id="rId19" w:history="1">
        <w:r w:rsidR="00483EB6" w:rsidRPr="00CC707B">
          <w:rPr>
            <w:rStyle w:val="Hipersaitas"/>
            <w:lang w:val="lt-LT"/>
          </w:rPr>
          <w:t>2026/382</w:t>
        </w:r>
      </w:hyperlink>
      <w:r w:rsidR="00483EB6" w:rsidRPr="009C0535">
        <w:rPr>
          <w:lang w:val="lt-LT"/>
        </w:rPr>
        <w:t>, kuris taikomas nuo 2026 m. liepos 1 d.).</w:t>
      </w:r>
      <w:r w:rsidR="00483EB6">
        <w:rPr>
          <w:lang w:val="lt-LT"/>
        </w:rPr>
        <w:t xml:space="preserve"> </w:t>
      </w:r>
    </w:p>
    <w:p w14:paraId="169CE9B5" w14:textId="77777777" w:rsidR="00787F94" w:rsidRDefault="00787F94" w:rsidP="00787F94">
      <w:pPr>
        <w:spacing w:before="120"/>
        <w:jc w:val="both"/>
        <w:rPr>
          <w:lang w:val="lt-LT"/>
        </w:rPr>
      </w:pPr>
      <w:r>
        <w:rPr>
          <w:lang w:val="lt-LT"/>
        </w:rPr>
        <w:t>Reglamento nuostatos kiekvienu atleidimo nuo importo ar eksporto muitų atveju išdėstytos laikantis šios struktūros:</w:t>
      </w:r>
    </w:p>
    <w:p w14:paraId="665D7ACD" w14:textId="77777777" w:rsidR="00950DE8" w:rsidRDefault="00787F94" w:rsidP="008C712C">
      <w:pPr>
        <w:pStyle w:val="Sraopastraipa"/>
        <w:numPr>
          <w:ilvl w:val="0"/>
          <w:numId w:val="8"/>
        </w:numPr>
        <w:spacing w:before="120"/>
        <w:jc w:val="both"/>
        <w:rPr>
          <w:lang w:val="lt-LT"/>
        </w:rPr>
      </w:pPr>
      <w:r w:rsidRPr="00950DE8">
        <w:rPr>
          <w:lang w:val="lt-LT"/>
        </w:rPr>
        <w:t>apibrėžiamas lengvatos objektas</w:t>
      </w:r>
    </w:p>
    <w:p w14:paraId="4435B6EE" w14:textId="77777777" w:rsidR="00AD5856" w:rsidRDefault="00787F94" w:rsidP="00F81094">
      <w:pPr>
        <w:pStyle w:val="Sraopastraipa"/>
        <w:numPr>
          <w:ilvl w:val="0"/>
          <w:numId w:val="8"/>
        </w:numPr>
        <w:spacing w:before="120"/>
        <w:jc w:val="both"/>
        <w:rPr>
          <w:lang w:val="lt-LT"/>
        </w:rPr>
      </w:pPr>
      <w:r w:rsidRPr="00AD5856">
        <w:rPr>
          <w:lang w:val="lt-LT"/>
        </w:rPr>
        <w:t>įvardijamos lengvatos taikymo aplinkybės ir sąlygos</w:t>
      </w:r>
    </w:p>
    <w:p w14:paraId="75250612" w14:textId="77777777" w:rsidR="00AD5856" w:rsidRDefault="00787F94" w:rsidP="00340843">
      <w:pPr>
        <w:pStyle w:val="Sraopastraipa"/>
        <w:numPr>
          <w:ilvl w:val="0"/>
          <w:numId w:val="8"/>
        </w:numPr>
        <w:spacing w:before="120"/>
        <w:jc w:val="both"/>
        <w:rPr>
          <w:lang w:val="lt-LT"/>
        </w:rPr>
      </w:pPr>
      <w:r w:rsidRPr="00AD5856">
        <w:rPr>
          <w:lang w:val="lt-LT"/>
        </w:rPr>
        <w:t>nurodomos lengvatos taikymo išimtys ir apribojimai (jeigu jų yra)</w:t>
      </w:r>
    </w:p>
    <w:p w14:paraId="62368A1A" w14:textId="15F22BBB" w:rsidR="00787F94" w:rsidRPr="00E65FBE" w:rsidRDefault="00787F94" w:rsidP="007378AB">
      <w:pPr>
        <w:pStyle w:val="Sraopastraipa"/>
        <w:numPr>
          <w:ilvl w:val="0"/>
          <w:numId w:val="8"/>
        </w:numPr>
        <w:spacing w:before="120"/>
        <w:jc w:val="both"/>
        <w:rPr>
          <w:lang w:val="lt-LT"/>
        </w:rPr>
      </w:pPr>
      <w:r w:rsidRPr="00E65FBE">
        <w:rPr>
          <w:lang w:val="lt-LT"/>
        </w:rPr>
        <w:t xml:space="preserve">kai kuriais atvejais suteikiami įgaliojimai Komisijai nustatyti išsamesnę lengvatos taikymo      tvarką </w:t>
      </w:r>
    </w:p>
    <w:p w14:paraId="6554EC52" w14:textId="77777777" w:rsidR="00C00788" w:rsidRDefault="00787F94" w:rsidP="00C00788">
      <w:pPr>
        <w:spacing w:before="120" w:after="120"/>
        <w:jc w:val="both"/>
        <w:rPr>
          <w:lang w:val="lt-LT"/>
        </w:rPr>
      </w:pPr>
      <w:r>
        <w:rPr>
          <w:lang w:val="lt-LT"/>
        </w:rPr>
        <w:t>Tarybos reglamentą (EB) Nr. 1186/2009 papildantys ES muitų teisės aktai:</w:t>
      </w:r>
    </w:p>
    <w:p w14:paraId="739DFED0" w14:textId="664AECDB" w:rsidR="00E921C4" w:rsidRDefault="002E2FBC" w:rsidP="002E48E2">
      <w:pPr>
        <w:pStyle w:val="Sraopastraipa"/>
        <w:numPr>
          <w:ilvl w:val="0"/>
          <w:numId w:val="5"/>
        </w:numPr>
        <w:spacing w:before="120" w:after="120"/>
        <w:jc w:val="both"/>
        <w:rPr>
          <w:szCs w:val="24"/>
          <w:lang w:val="lt-LT"/>
        </w:rPr>
      </w:pPr>
      <w:r w:rsidRPr="00E921C4">
        <w:rPr>
          <w:lang w:val="lt-LT"/>
        </w:rPr>
        <w:t xml:space="preserve">Komisijos įgyvendinimo reglamentas (ES) </w:t>
      </w:r>
      <w:hyperlink r:id="rId20" w:history="1">
        <w:r w:rsidRPr="004E42C9">
          <w:rPr>
            <w:rStyle w:val="Hipersaitas"/>
            <w:lang w:val="lt-LT"/>
          </w:rPr>
          <w:t>Nr. 1224/2011</w:t>
        </w:r>
      </w:hyperlink>
      <w:r w:rsidR="00DF77F1" w:rsidRPr="00E921C4">
        <w:rPr>
          <w:szCs w:val="24"/>
          <w:lang w:val="lt-LT"/>
        </w:rPr>
        <w:t xml:space="preserve"> </w:t>
      </w:r>
      <w:r w:rsidRPr="00E921C4">
        <w:rPr>
          <w:szCs w:val="24"/>
          <w:lang w:val="lt-LT"/>
        </w:rPr>
        <w:t>(</w:t>
      </w:r>
      <w:r w:rsidR="007C62BB" w:rsidRPr="00E921C4">
        <w:rPr>
          <w:szCs w:val="24"/>
          <w:lang w:val="lt-LT"/>
        </w:rPr>
        <w:t xml:space="preserve">nuostatos dėl </w:t>
      </w:r>
      <w:r w:rsidRPr="00E921C4">
        <w:rPr>
          <w:szCs w:val="24"/>
          <w:lang w:val="lt-LT"/>
        </w:rPr>
        <w:t>neįgaliųjų poreikiams</w:t>
      </w:r>
      <w:r w:rsidR="00DF77F1" w:rsidRPr="00E921C4">
        <w:rPr>
          <w:szCs w:val="24"/>
          <w:lang w:val="lt-LT"/>
        </w:rPr>
        <w:t xml:space="preserve"> </w:t>
      </w:r>
      <w:r w:rsidR="007C62BB" w:rsidRPr="00E921C4">
        <w:rPr>
          <w:szCs w:val="24"/>
          <w:lang w:val="lt-LT"/>
        </w:rPr>
        <w:t>į</w:t>
      </w:r>
      <w:r w:rsidRPr="00E921C4">
        <w:rPr>
          <w:szCs w:val="24"/>
          <w:lang w:val="lt-LT"/>
        </w:rPr>
        <w:t>vežam</w:t>
      </w:r>
      <w:r w:rsidR="007C62BB" w:rsidRPr="00E921C4">
        <w:rPr>
          <w:szCs w:val="24"/>
          <w:lang w:val="lt-LT"/>
        </w:rPr>
        <w:t xml:space="preserve">ų </w:t>
      </w:r>
      <w:r w:rsidRPr="00E921C4">
        <w:rPr>
          <w:szCs w:val="24"/>
          <w:lang w:val="lt-LT"/>
        </w:rPr>
        <w:t>prek</w:t>
      </w:r>
      <w:r w:rsidR="007C62BB" w:rsidRPr="00E921C4">
        <w:rPr>
          <w:szCs w:val="24"/>
          <w:lang w:val="lt-LT"/>
        </w:rPr>
        <w:t>ių</w:t>
      </w:r>
      <w:r w:rsidRPr="00E921C4">
        <w:rPr>
          <w:szCs w:val="24"/>
          <w:lang w:val="lt-LT"/>
        </w:rPr>
        <w:t>)</w:t>
      </w:r>
    </w:p>
    <w:p w14:paraId="748793A0" w14:textId="12F3854B" w:rsidR="004A484C" w:rsidRPr="004A484C" w:rsidRDefault="002E2FBC" w:rsidP="007E2357">
      <w:pPr>
        <w:pStyle w:val="Sraopastraipa"/>
        <w:numPr>
          <w:ilvl w:val="0"/>
          <w:numId w:val="5"/>
        </w:numPr>
        <w:spacing w:before="120" w:after="120"/>
        <w:jc w:val="both"/>
        <w:rPr>
          <w:lang w:val="lt-LT"/>
        </w:rPr>
      </w:pPr>
      <w:r w:rsidRPr="004A484C">
        <w:rPr>
          <w:szCs w:val="24"/>
          <w:lang w:val="lt-LT"/>
        </w:rPr>
        <w:t xml:space="preserve">Komisijos įgyvendinimo reglamentas (ES) </w:t>
      </w:r>
      <w:hyperlink r:id="rId21" w:history="1">
        <w:r w:rsidRPr="004E42C9">
          <w:rPr>
            <w:rStyle w:val="Hipersaitas"/>
            <w:szCs w:val="24"/>
            <w:lang w:val="lt-LT"/>
          </w:rPr>
          <w:t>Nr. 1225/2011</w:t>
        </w:r>
      </w:hyperlink>
      <w:r w:rsidR="00074781" w:rsidRPr="004A484C">
        <w:rPr>
          <w:color w:val="0000FF"/>
          <w:szCs w:val="24"/>
          <w:lang w:val="lt-LT"/>
        </w:rPr>
        <w:t xml:space="preserve"> </w:t>
      </w:r>
      <w:r w:rsidR="00BC5650" w:rsidRPr="00A250D8">
        <w:rPr>
          <w:szCs w:val="24"/>
          <w:lang w:val="lt-LT"/>
        </w:rPr>
        <w:t>(</w:t>
      </w:r>
      <w:r w:rsidR="007C62BB" w:rsidRPr="00A250D8">
        <w:rPr>
          <w:szCs w:val="24"/>
          <w:lang w:val="lt-LT"/>
        </w:rPr>
        <w:t xml:space="preserve">nuostatos </w:t>
      </w:r>
      <w:r w:rsidR="007C62BB" w:rsidRPr="004A484C">
        <w:rPr>
          <w:szCs w:val="24"/>
          <w:lang w:val="lt-LT"/>
        </w:rPr>
        <w:t xml:space="preserve">dėl </w:t>
      </w:r>
      <w:r w:rsidRPr="004A484C">
        <w:rPr>
          <w:szCs w:val="24"/>
          <w:lang w:val="lt-LT"/>
        </w:rPr>
        <w:t xml:space="preserve">švietimo, mokslo ir </w:t>
      </w:r>
      <w:r w:rsidR="007C62BB" w:rsidRPr="004A484C">
        <w:rPr>
          <w:szCs w:val="24"/>
          <w:lang w:val="lt-LT"/>
        </w:rPr>
        <w:t>k</w:t>
      </w:r>
      <w:r w:rsidRPr="004A484C">
        <w:rPr>
          <w:szCs w:val="24"/>
          <w:lang w:val="lt-LT"/>
        </w:rPr>
        <w:t>ultūros</w:t>
      </w:r>
      <w:r w:rsidR="00DF77F1" w:rsidRPr="004A484C">
        <w:rPr>
          <w:szCs w:val="24"/>
          <w:lang w:val="lt-LT"/>
        </w:rPr>
        <w:t xml:space="preserve"> </w:t>
      </w:r>
      <w:r w:rsidRPr="004A484C">
        <w:rPr>
          <w:szCs w:val="24"/>
          <w:lang w:val="lt-LT"/>
        </w:rPr>
        <w:t>medžiag</w:t>
      </w:r>
      <w:r w:rsidR="007C62BB" w:rsidRPr="004A484C">
        <w:rPr>
          <w:szCs w:val="24"/>
          <w:lang w:val="lt-LT"/>
        </w:rPr>
        <w:t>os</w:t>
      </w:r>
      <w:r w:rsidRPr="004A484C">
        <w:rPr>
          <w:szCs w:val="24"/>
          <w:lang w:val="lt-LT"/>
        </w:rPr>
        <w:t>, prietais</w:t>
      </w:r>
      <w:r w:rsidR="007C62BB" w:rsidRPr="004A484C">
        <w:rPr>
          <w:szCs w:val="24"/>
          <w:lang w:val="lt-LT"/>
        </w:rPr>
        <w:t>ų</w:t>
      </w:r>
      <w:r w:rsidRPr="004A484C">
        <w:rPr>
          <w:szCs w:val="24"/>
          <w:lang w:val="lt-LT"/>
        </w:rPr>
        <w:t xml:space="preserve"> ir aparat</w:t>
      </w:r>
      <w:r w:rsidR="007C62BB" w:rsidRPr="004A484C">
        <w:rPr>
          <w:szCs w:val="24"/>
          <w:lang w:val="lt-LT"/>
        </w:rPr>
        <w:t>ų</w:t>
      </w:r>
      <w:r w:rsidRPr="004A484C">
        <w:rPr>
          <w:szCs w:val="24"/>
          <w:lang w:val="lt-LT"/>
        </w:rPr>
        <w:t>, skirt</w:t>
      </w:r>
      <w:r w:rsidR="007C62BB" w:rsidRPr="004A484C">
        <w:rPr>
          <w:szCs w:val="24"/>
          <w:lang w:val="lt-LT"/>
        </w:rPr>
        <w:t>ų</w:t>
      </w:r>
      <w:r w:rsidRPr="004A484C">
        <w:rPr>
          <w:szCs w:val="24"/>
          <w:lang w:val="lt-LT"/>
        </w:rPr>
        <w:t xml:space="preserve"> medicininiams tyrimams</w:t>
      </w:r>
      <w:r w:rsidR="0088633F" w:rsidRPr="004A484C">
        <w:rPr>
          <w:szCs w:val="24"/>
          <w:lang w:val="lt-LT"/>
        </w:rPr>
        <w:t>,</w:t>
      </w:r>
      <w:r w:rsidRPr="004A484C">
        <w:rPr>
          <w:szCs w:val="24"/>
          <w:lang w:val="lt-LT"/>
        </w:rPr>
        <w:t xml:space="preserve"> ligų diagnozavimui ar</w:t>
      </w:r>
      <w:r w:rsidR="00DF77F1" w:rsidRPr="004A484C">
        <w:rPr>
          <w:szCs w:val="24"/>
          <w:lang w:val="lt-LT"/>
        </w:rPr>
        <w:t xml:space="preserve"> </w:t>
      </w:r>
      <w:r w:rsidRPr="004A484C">
        <w:rPr>
          <w:szCs w:val="24"/>
          <w:lang w:val="lt-LT"/>
        </w:rPr>
        <w:t>gydymui)</w:t>
      </w:r>
      <w:r w:rsidR="00CE235E" w:rsidRPr="004A484C">
        <w:rPr>
          <w:color w:val="0000FF"/>
          <w:szCs w:val="24"/>
          <w:lang w:val="lt-LT"/>
        </w:rPr>
        <w:t xml:space="preserve"> </w:t>
      </w:r>
    </w:p>
    <w:p w14:paraId="3BFD88D9" w14:textId="1C657874" w:rsidR="004A484C" w:rsidRDefault="00787F94" w:rsidP="00AD6E33">
      <w:pPr>
        <w:pStyle w:val="Sraopastraipa"/>
        <w:numPr>
          <w:ilvl w:val="0"/>
          <w:numId w:val="5"/>
        </w:numPr>
        <w:spacing w:before="120" w:after="120"/>
        <w:jc w:val="both"/>
        <w:rPr>
          <w:lang w:val="lt-LT"/>
        </w:rPr>
      </w:pPr>
      <w:r w:rsidRPr="004A484C">
        <w:rPr>
          <w:lang w:val="lt-LT"/>
        </w:rPr>
        <w:t xml:space="preserve">Komisijos </w:t>
      </w:r>
      <w:r w:rsidR="00804081" w:rsidRPr="004A484C">
        <w:rPr>
          <w:lang w:val="lt-LT"/>
        </w:rPr>
        <w:t xml:space="preserve">įgyvendinimo </w:t>
      </w:r>
      <w:r w:rsidRPr="004A484C">
        <w:rPr>
          <w:lang w:val="lt-LT"/>
        </w:rPr>
        <w:t>reglamentas (E</w:t>
      </w:r>
      <w:r w:rsidR="001A044C" w:rsidRPr="004A484C">
        <w:rPr>
          <w:lang w:val="lt-LT"/>
        </w:rPr>
        <w:t>S</w:t>
      </w:r>
      <w:r w:rsidRPr="004A484C">
        <w:rPr>
          <w:lang w:val="lt-LT"/>
        </w:rPr>
        <w:t xml:space="preserve">) </w:t>
      </w:r>
      <w:hyperlink r:id="rId22" w:history="1">
        <w:r w:rsidR="00804081" w:rsidRPr="004E42C9">
          <w:rPr>
            <w:rStyle w:val="Hipersaitas"/>
            <w:lang w:val="lt-LT"/>
          </w:rPr>
          <w:t>Nr. 80/2012</w:t>
        </w:r>
      </w:hyperlink>
      <w:r w:rsidR="009276C8" w:rsidRPr="004A484C">
        <w:rPr>
          <w:color w:val="0000FF"/>
          <w:lang w:val="lt-LT"/>
        </w:rPr>
        <w:t xml:space="preserve"> </w:t>
      </w:r>
      <w:r w:rsidRPr="004A484C">
        <w:rPr>
          <w:lang w:val="lt-LT"/>
        </w:rPr>
        <w:t>(biologinių ir cheminių medžiagų sąrašas)</w:t>
      </w:r>
    </w:p>
    <w:p w14:paraId="71375A67" w14:textId="543DF68B" w:rsidR="006026B4" w:rsidRPr="006026B4" w:rsidRDefault="004A484C" w:rsidP="006026B4">
      <w:pPr>
        <w:pStyle w:val="Sraopastraipa"/>
        <w:numPr>
          <w:ilvl w:val="0"/>
          <w:numId w:val="5"/>
        </w:numPr>
        <w:spacing w:before="120" w:after="120"/>
        <w:jc w:val="both"/>
        <w:rPr>
          <w:szCs w:val="24"/>
          <w:lang w:val="lt-LT"/>
        </w:rPr>
      </w:pPr>
      <w:r w:rsidRPr="00212D1F">
        <w:rPr>
          <w:lang w:val="lt-LT"/>
        </w:rPr>
        <w:t>K</w:t>
      </w:r>
      <w:r w:rsidR="00787F94" w:rsidRPr="00212D1F">
        <w:rPr>
          <w:lang w:val="lt-LT"/>
        </w:rPr>
        <w:t xml:space="preserve">omisijos reglamentas (EEB) </w:t>
      </w:r>
      <w:hyperlink r:id="rId23" w:history="1">
        <w:r w:rsidR="00787F94" w:rsidRPr="004E42C9">
          <w:rPr>
            <w:rStyle w:val="Hipersaitas"/>
            <w:lang w:val="lt-LT"/>
          </w:rPr>
          <w:t>Nr. 3915/88</w:t>
        </w:r>
      </w:hyperlink>
      <w:r w:rsidR="00787F94" w:rsidRPr="00212D1F">
        <w:rPr>
          <w:lang w:val="lt-LT"/>
        </w:rPr>
        <w:t xml:space="preserve"> (nuostatos dėl medžiagų, naudojamų vaistų kokybės  kontrolei) </w:t>
      </w:r>
    </w:p>
    <w:p w14:paraId="706B837A" w14:textId="77777777" w:rsidR="006026B4" w:rsidRPr="006026B4" w:rsidRDefault="006026B4" w:rsidP="006026B4">
      <w:pPr>
        <w:spacing w:before="120" w:after="120"/>
        <w:jc w:val="both"/>
        <w:rPr>
          <w:szCs w:val="24"/>
          <w:lang w:val="lt-LT"/>
        </w:rPr>
      </w:pPr>
    </w:p>
    <w:sectPr w:rsidR="006026B4" w:rsidRPr="006026B4" w:rsidSect="00D52AE5">
      <w:pgSz w:w="11906" w:h="16838"/>
      <w:pgMar w:top="1134" w:right="567" w:bottom="1134" w:left="1701" w:header="567" w:footer="567" w:gutter="0"/>
      <w:cols w:space="1296"/>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C76"/>
    <w:multiLevelType w:val="hybridMultilevel"/>
    <w:tmpl w:val="A4421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C240EE"/>
    <w:multiLevelType w:val="hybridMultilevel"/>
    <w:tmpl w:val="5E24DE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242DDD"/>
    <w:multiLevelType w:val="hybridMultilevel"/>
    <w:tmpl w:val="5E64A0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BE158A"/>
    <w:multiLevelType w:val="hybridMultilevel"/>
    <w:tmpl w:val="115662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A642FA6"/>
    <w:multiLevelType w:val="hybridMultilevel"/>
    <w:tmpl w:val="6FF45FDE"/>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5" w15:restartNumberingAfterBreak="0">
    <w:nsid w:val="3CEA0D54"/>
    <w:multiLevelType w:val="hybridMultilevel"/>
    <w:tmpl w:val="E554805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6" w15:restartNumberingAfterBreak="0">
    <w:nsid w:val="549F27C6"/>
    <w:multiLevelType w:val="hybridMultilevel"/>
    <w:tmpl w:val="0EE6E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9B50CF"/>
    <w:multiLevelType w:val="hybridMultilevel"/>
    <w:tmpl w:val="98AA254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B16553"/>
    <w:multiLevelType w:val="hybridMultilevel"/>
    <w:tmpl w:val="DD80F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F22200F"/>
    <w:multiLevelType w:val="hybridMultilevel"/>
    <w:tmpl w:val="0292DC4C"/>
    <w:lvl w:ilvl="0" w:tplc="BF165CD0">
      <w:start w:val="3"/>
      <w:numFmt w:val="bullet"/>
      <w:lvlText w:val="-"/>
      <w:lvlJc w:val="left"/>
      <w:pPr>
        <w:tabs>
          <w:tab w:val="num" w:pos="1080"/>
        </w:tabs>
        <w:ind w:left="1080" w:hanging="360"/>
      </w:pPr>
      <w:rPr>
        <w:rFonts w:ascii="Times New Roman" w:eastAsia="Times New Roman" w:hAnsi="Times New Roman" w:cs="Times New Roman" w:hint="default"/>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num w:numId="1" w16cid:durableId="1562672707">
    <w:abstractNumId w:val="9"/>
  </w:num>
  <w:num w:numId="2" w16cid:durableId="1839148337">
    <w:abstractNumId w:val="1"/>
  </w:num>
  <w:num w:numId="3" w16cid:durableId="1823958791">
    <w:abstractNumId w:val="6"/>
  </w:num>
  <w:num w:numId="4" w16cid:durableId="1500121614">
    <w:abstractNumId w:val="7"/>
  </w:num>
  <w:num w:numId="5" w16cid:durableId="1185559628">
    <w:abstractNumId w:val="2"/>
  </w:num>
  <w:num w:numId="6" w16cid:durableId="732196816">
    <w:abstractNumId w:val="5"/>
  </w:num>
  <w:num w:numId="7" w16cid:durableId="1740400813">
    <w:abstractNumId w:val="0"/>
  </w:num>
  <w:num w:numId="8" w16cid:durableId="496074223">
    <w:abstractNumId w:val="3"/>
  </w:num>
  <w:num w:numId="9" w16cid:durableId="631864574">
    <w:abstractNumId w:val="8"/>
  </w:num>
  <w:num w:numId="10" w16cid:durableId="809909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165"/>
    <w:rsid w:val="00003C74"/>
    <w:rsid w:val="00006591"/>
    <w:rsid w:val="00020E92"/>
    <w:rsid w:val="00022078"/>
    <w:rsid w:val="00026D78"/>
    <w:rsid w:val="00042A71"/>
    <w:rsid w:val="0004317B"/>
    <w:rsid w:val="00043EDB"/>
    <w:rsid w:val="000714FB"/>
    <w:rsid w:val="00074781"/>
    <w:rsid w:val="000C3C78"/>
    <w:rsid w:val="000C5E39"/>
    <w:rsid w:val="000D0485"/>
    <w:rsid w:val="000E01D5"/>
    <w:rsid w:val="000E1DE3"/>
    <w:rsid w:val="000E5ED3"/>
    <w:rsid w:val="000F478E"/>
    <w:rsid w:val="00103012"/>
    <w:rsid w:val="001053CB"/>
    <w:rsid w:val="00105B3F"/>
    <w:rsid w:val="001262A6"/>
    <w:rsid w:val="001334C1"/>
    <w:rsid w:val="001345A0"/>
    <w:rsid w:val="00146F96"/>
    <w:rsid w:val="001501F4"/>
    <w:rsid w:val="00155622"/>
    <w:rsid w:val="00157F21"/>
    <w:rsid w:val="00163C04"/>
    <w:rsid w:val="001677E3"/>
    <w:rsid w:val="00175D40"/>
    <w:rsid w:val="00176DD2"/>
    <w:rsid w:val="00184669"/>
    <w:rsid w:val="0018614E"/>
    <w:rsid w:val="001862DC"/>
    <w:rsid w:val="00186952"/>
    <w:rsid w:val="001879E5"/>
    <w:rsid w:val="00195102"/>
    <w:rsid w:val="001A044C"/>
    <w:rsid w:val="001B38E2"/>
    <w:rsid w:val="001B5387"/>
    <w:rsid w:val="001B5A0D"/>
    <w:rsid w:val="001B5EC0"/>
    <w:rsid w:val="001C06F8"/>
    <w:rsid w:val="001C41B1"/>
    <w:rsid w:val="001C63A4"/>
    <w:rsid w:val="001D185E"/>
    <w:rsid w:val="001D4A90"/>
    <w:rsid w:val="001D7315"/>
    <w:rsid w:val="002043BF"/>
    <w:rsid w:val="00204707"/>
    <w:rsid w:val="0021007C"/>
    <w:rsid w:val="00212D1F"/>
    <w:rsid w:val="002166EC"/>
    <w:rsid w:val="0022094D"/>
    <w:rsid w:val="00221DA1"/>
    <w:rsid w:val="00227CBF"/>
    <w:rsid w:val="00245139"/>
    <w:rsid w:val="00245521"/>
    <w:rsid w:val="00245A33"/>
    <w:rsid w:val="002468F2"/>
    <w:rsid w:val="0026212A"/>
    <w:rsid w:val="0027142D"/>
    <w:rsid w:val="00277EF2"/>
    <w:rsid w:val="002959F1"/>
    <w:rsid w:val="002A0C52"/>
    <w:rsid w:val="002B632C"/>
    <w:rsid w:val="002C77F4"/>
    <w:rsid w:val="002D39C5"/>
    <w:rsid w:val="002E2FBC"/>
    <w:rsid w:val="002E3269"/>
    <w:rsid w:val="002E618A"/>
    <w:rsid w:val="002F32A6"/>
    <w:rsid w:val="002F5B11"/>
    <w:rsid w:val="002F6431"/>
    <w:rsid w:val="0030327C"/>
    <w:rsid w:val="0030542C"/>
    <w:rsid w:val="00315FA6"/>
    <w:rsid w:val="003300CD"/>
    <w:rsid w:val="003337F5"/>
    <w:rsid w:val="00341778"/>
    <w:rsid w:val="0034493B"/>
    <w:rsid w:val="00350558"/>
    <w:rsid w:val="00356A38"/>
    <w:rsid w:val="003619F9"/>
    <w:rsid w:val="00362791"/>
    <w:rsid w:val="00371776"/>
    <w:rsid w:val="00372951"/>
    <w:rsid w:val="00374554"/>
    <w:rsid w:val="003748A2"/>
    <w:rsid w:val="00382CB5"/>
    <w:rsid w:val="00386AFB"/>
    <w:rsid w:val="00387078"/>
    <w:rsid w:val="003A0555"/>
    <w:rsid w:val="003A11F6"/>
    <w:rsid w:val="003A2BAA"/>
    <w:rsid w:val="003B7C8C"/>
    <w:rsid w:val="003C09C3"/>
    <w:rsid w:val="003C0F94"/>
    <w:rsid w:val="003C69DA"/>
    <w:rsid w:val="003C7983"/>
    <w:rsid w:val="003D09AE"/>
    <w:rsid w:val="003D481F"/>
    <w:rsid w:val="003E2069"/>
    <w:rsid w:val="003E2A64"/>
    <w:rsid w:val="003E36E7"/>
    <w:rsid w:val="003E512D"/>
    <w:rsid w:val="003F053A"/>
    <w:rsid w:val="003F1B6D"/>
    <w:rsid w:val="003F3F3C"/>
    <w:rsid w:val="003F6165"/>
    <w:rsid w:val="004009A2"/>
    <w:rsid w:val="0040783D"/>
    <w:rsid w:val="00407951"/>
    <w:rsid w:val="0041565E"/>
    <w:rsid w:val="00420E3E"/>
    <w:rsid w:val="00421723"/>
    <w:rsid w:val="00427980"/>
    <w:rsid w:val="00431239"/>
    <w:rsid w:val="00435882"/>
    <w:rsid w:val="00443DFB"/>
    <w:rsid w:val="004547FF"/>
    <w:rsid w:val="00456521"/>
    <w:rsid w:val="004577A9"/>
    <w:rsid w:val="00466436"/>
    <w:rsid w:val="0047570B"/>
    <w:rsid w:val="00482E08"/>
    <w:rsid w:val="00483854"/>
    <w:rsid w:val="00483EB6"/>
    <w:rsid w:val="0048592C"/>
    <w:rsid w:val="00490058"/>
    <w:rsid w:val="004935BF"/>
    <w:rsid w:val="00496EB3"/>
    <w:rsid w:val="0049789C"/>
    <w:rsid w:val="004A11FC"/>
    <w:rsid w:val="004A37D1"/>
    <w:rsid w:val="004A484C"/>
    <w:rsid w:val="004B0BDF"/>
    <w:rsid w:val="004B2549"/>
    <w:rsid w:val="004C0EBD"/>
    <w:rsid w:val="004C28D2"/>
    <w:rsid w:val="004C4BBD"/>
    <w:rsid w:val="004D2051"/>
    <w:rsid w:val="004D40E4"/>
    <w:rsid w:val="004E130A"/>
    <w:rsid w:val="004E42C9"/>
    <w:rsid w:val="004E729C"/>
    <w:rsid w:val="004F34E6"/>
    <w:rsid w:val="004F543B"/>
    <w:rsid w:val="00505259"/>
    <w:rsid w:val="005065E8"/>
    <w:rsid w:val="00513985"/>
    <w:rsid w:val="005172D9"/>
    <w:rsid w:val="0053107A"/>
    <w:rsid w:val="00531855"/>
    <w:rsid w:val="00535B2D"/>
    <w:rsid w:val="00536A2E"/>
    <w:rsid w:val="00537D2F"/>
    <w:rsid w:val="005408ED"/>
    <w:rsid w:val="00541F26"/>
    <w:rsid w:val="00542ADF"/>
    <w:rsid w:val="00543741"/>
    <w:rsid w:val="00554392"/>
    <w:rsid w:val="00554C88"/>
    <w:rsid w:val="00567E0D"/>
    <w:rsid w:val="00570446"/>
    <w:rsid w:val="0057240D"/>
    <w:rsid w:val="00572C93"/>
    <w:rsid w:val="005763E0"/>
    <w:rsid w:val="005810E9"/>
    <w:rsid w:val="00583083"/>
    <w:rsid w:val="00584E2C"/>
    <w:rsid w:val="00591E4B"/>
    <w:rsid w:val="00595CD9"/>
    <w:rsid w:val="005B021F"/>
    <w:rsid w:val="005B054B"/>
    <w:rsid w:val="005B1895"/>
    <w:rsid w:val="005B2C09"/>
    <w:rsid w:val="005B77D8"/>
    <w:rsid w:val="005C2BF8"/>
    <w:rsid w:val="005D0057"/>
    <w:rsid w:val="005D27D9"/>
    <w:rsid w:val="005E2DFB"/>
    <w:rsid w:val="005F201B"/>
    <w:rsid w:val="005F3C8E"/>
    <w:rsid w:val="005F4D8C"/>
    <w:rsid w:val="006026B4"/>
    <w:rsid w:val="006067DF"/>
    <w:rsid w:val="006152D7"/>
    <w:rsid w:val="00626B16"/>
    <w:rsid w:val="006308C5"/>
    <w:rsid w:val="006346AF"/>
    <w:rsid w:val="0063589F"/>
    <w:rsid w:val="00652589"/>
    <w:rsid w:val="0065431D"/>
    <w:rsid w:val="00656AFB"/>
    <w:rsid w:val="00657BFD"/>
    <w:rsid w:val="00664502"/>
    <w:rsid w:val="00671263"/>
    <w:rsid w:val="00677443"/>
    <w:rsid w:val="00684621"/>
    <w:rsid w:val="00684CA6"/>
    <w:rsid w:val="0068547E"/>
    <w:rsid w:val="006861E2"/>
    <w:rsid w:val="006A3E2F"/>
    <w:rsid w:val="006A59F8"/>
    <w:rsid w:val="006B29C5"/>
    <w:rsid w:val="006B3A5B"/>
    <w:rsid w:val="006B6A80"/>
    <w:rsid w:val="006C4943"/>
    <w:rsid w:val="006C5676"/>
    <w:rsid w:val="006E170F"/>
    <w:rsid w:val="006E3983"/>
    <w:rsid w:val="006E53D3"/>
    <w:rsid w:val="006F17FC"/>
    <w:rsid w:val="006F55EA"/>
    <w:rsid w:val="00712192"/>
    <w:rsid w:val="00713AF6"/>
    <w:rsid w:val="00721CBF"/>
    <w:rsid w:val="0072620C"/>
    <w:rsid w:val="00731DAC"/>
    <w:rsid w:val="00735671"/>
    <w:rsid w:val="00735D97"/>
    <w:rsid w:val="00743083"/>
    <w:rsid w:val="00753075"/>
    <w:rsid w:val="007537EE"/>
    <w:rsid w:val="00754011"/>
    <w:rsid w:val="007670C3"/>
    <w:rsid w:val="00767C1D"/>
    <w:rsid w:val="00771E20"/>
    <w:rsid w:val="007758E8"/>
    <w:rsid w:val="00780D2C"/>
    <w:rsid w:val="00787F94"/>
    <w:rsid w:val="00790ABD"/>
    <w:rsid w:val="007A0F78"/>
    <w:rsid w:val="007A26CA"/>
    <w:rsid w:val="007A597B"/>
    <w:rsid w:val="007A755F"/>
    <w:rsid w:val="007B7E9D"/>
    <w:rsid w:val="007C332D"/>
    <w:rsid w:val="007C50F8"/>
    <w:rsid w:val="007C62BB"/>
    <w:rsid w:val="007F740F"/>
    <w:rsid w:val="008006C6"/>
    <w:rsid w:val="00801A65"/>
    <w:rsid w:val="00804081"/>
    <w:rsid w:val="00830110"/>
    <w:rsid w:val="00845F79"/>
    <w:rsid w:val="00853E1A"/>
    <w:rsid w:val="00857A76"/>
    <w:rsid w:val="00861F0C"/>
    <w:rsid w:val="008742D9"/>
    <w:rsid w:val="0088633F"/>
    <w:rsid w:val="008920D3"/>
    <w:rsid w:val="00894654"/>
    <w:rsid w:val="008B57D4"/>
    <w:rsid w:val="008B6462"/>
    <w:rsid w:val="008C0C9C"/>
    <w:rsid w:val="008C5E70"/>
    <w:rsid w:val="008D63F1"/>
    <w:rsid w:val="00911424"/>
    <w:rsid w:val="009134C6"/>
    <w:rsid w:val="00915B9A"/>
    <w:rsid w:val="00920CEE"/>
    <w:rsid w:val="009276C8"/>
    <w:rsid w:val="00932299"/>
    <w:rsid w:val="009325AA"/>
    <w:rsid w:val="00940529"/>
    <w:rsid w:val="0094264B"/>
    <w:rsid w:val="009432AD"/>
    <w:rsid w:val="00950366"/>
    <w:rsid w:val="00950DE8"/>
    <w:rsid w:val="0095103F"/>
    <w:rsid w:val="00951772"/>
    <w:rsid w:val="00954FBF"/>
    <w:rsid w:val="00957289"/>
    <w:rsid w:val="00960E1F"/>
    <w:rsid w:val="009631D4"/>
    <w:rsid w:val="00965ACE"/>
    <w:rsid w:val="0096799C"/>
    <w:rsid w:val="00972A61"/>
    <w:rsid w:val="00973667"/>
    <w:rsid w:val="009741B3"/>
    <w:rsid w:val="00981A5B"/>
    <w:rsid w:val="00996179"/>
    <w:rsid w:val="0099732A"/>
    <w:rsid w:val="00997D25"/>
    <w:rsid w:val="009A2730"/>
    <w:rsid w:val="009A4E0A"/>
    <w:rsid w:val="009B3365"/>
    <w:rsid w:val="009B65C2"/>
    <w:rsid w:val="009B66A6"/>
    <w:rsid w:val="009C0535"/>
    <w:rsid w:val="009C0DE9"/>
    <w:rsid w:val="009E0111"/>
    <w:rsid w:val="009E24FD"/>
    <w:rsid w:val="009E4114"/>
    <w:rsid w:val="009F731E"/>
    <w:rsid w:val="00A025A6"/>
    <w:rsid w:val="00A056E2"/>
    <w:rsid w:val="00A13D4C"/>
    <w:rsid w:val="00A1581B"/>
    <w:rsid w:val="00A250D8"/>
    <w:rsid w:val="00A41C00"/>
    <w:rsid w:val="00A70145"/>
    <w:rsid w:val="00A71B4B"/>
    <w:rsid w:val="00A73CCD"/>
    <w:rsid w:val="00AA55D2"/>
    <w:rsid w:val="00AA623C"/>
    <w:rsid w:val="00AA75FC"/>
    <w:rsid w:val="00AA781D"/>
    <w:rsid w:val="00AB3E4A"/>
    <w:rsid w:val="00AB656E"/>
    <w:rsid w:val="00AB7F56"/>
    <w:rsid w:val="00AC2B78"/>
    <w:rsid w:val="00AD34A3"/>
    <w:rsid w:val="00AD5856"/>
    <w:rsid w:val="00AE1B55"/>
    <w:rsid w:val="00AE5227"/>
    <w:rsid w:val="00AE7312"/>
    <w:rsid w:val="00AE7704"/>
    <w:rsid w:val="00B078B0"/>
    <w:rsid w:val="00B17F13"/>
    <w:rsid w:val="00B24F9F"/>
    <w:rsid w:val="00B30B26"/>
    <w:rsid w:val="00B36F11"/>
    <w:rsid w:val="00B37E16"/>
    <w:rsid w:val="00B37E77"/>
    <w:rsid w:val="00B4575E"/>
    <w:rsid w:val="00B52075"/>
    <w:rsid w:val="00B55BB5"/>
    <w:rsid w:val="00B57AE8"/>
    <w:rsid w:val="00B7065F"/>
    <w:rsid w:val="00B86A51"/>
    <w:rsid w:val="00B9029B"/>
    <w:rsid w:val="00B90AF8"/>
    <w:rsid w:val="00B90F07"/>
    <w:rsid w:val="00B9219D"/>
    <w:rsid w:val="00B95C80"/>
    <w:rsid w:val="00BA06BC"/>
    <w:rsid w:val="00BB1ABF"/>
    <w:rsid w:val="00BB7B0A"/>
    <w:rsid w:val="00BC121E"/>
    <w:rsid w:val="00BC5650"/>
    <w:rsid w:val="00BD4765"/>
    <w:rsid w:val="00BE2B8F"/>
    <w:rsid w:val="00BF043B"/>
    <w:rsid w:val="00BF23C1"/>
    <w:rsid w:val="00C00788"/>
    <w:rsid w:val="00C009AB"/>
    <w:rsid w:val="00C05562"/>
    <w:rsid w:val="00C05A4D"/>
    <w:rsid w:val="00C157AB"/>
    <w:rsid w:val="00C23C62"/>
    <w:rsid w:val="00C23DE7"/>
    <w:rsid w:val="00C31170"/>
    <w:rsid w:val="00C35B89"/>
    <w:rsid w:val="00C41193"/>
    <w:rsid w:val="00C4250F"/>
    <w:rsid w:val="00C463E8"/>
    <w:rsid w:val="00C55716"/>
    <w:rsid w:val="00C60BD3"/>
    <w:rsid w:val="00C62F19"/>
    <w:rsid w:val="00C64DA3"/>
    <w:rsid w:val="00C66588"/>
    <w:rsid w:val="00C86D2F"/>
    <w:rsid w:val="00C945CA"/>
    <w:rsid w:val="00CA272F"/>
    <w:rsid w:val="00CA4397"/>
    <w:rsid w:val="00CA6D43"/>
    <w:rsid w:val="00CC3460"/>
    <w:rsid w:val="00CC707B"/>
    <w:rsid w:val="00CD326D"/>
    <w:rsid w:val="00CD661A"/>
    <w:rsid w:val="00CE235E"/>
    <w:rsid w:val="00CE4575"/>
    <w:rsid w:val="00D05354"/>
    <w:rsid w:val="00D10AC2"/>
    <w:rsid w:val="00D1481C"/>
    <w:rsid w:val="00D15BBB"/>
    <w:rsid w:val="00D209D8"/>
    <w:rsid w:val="00D23E1D"/>
    <w:rsid w:val="00D346B3"/>
    <w:rsid w:val="00D52AE5"/>
    <w:rsid w:val="00D6245E"/>
    <w:rsid w:val="00D64F65"/>
    <w:rsid w:val="00D66108"/>
    <w:rsid w:val="00D66BE1"/>
    <w:rsid w:val="00D70041"/>
    <w:rsid w:val="00D73715"/>
    <w:rsid w:val="00D8119C"/>
    <w:rsid w:val="00D82D36"/>
    <w:rsid w:val="00D84136"/>
    <w:rsid w:val="00D93543"/>
    <w:rsid w:val="00DB63E0"/>
    <w:rsid w:val="00DC10A4"/>
    <w:rsid w:val="00DC6987"/>
    <w:rsid w:val="00DC7626"/>
    <w:rsid w:val="00DD2E73"/>
    <w:rsid w:val="00DD4AF1"/>
    <w:rsid w:val="00DE6AC2"/>
    <w:rsid w:val="00DE7C78"/>
    <w:rsid w:val="00DF2D30"/>
    <w:rsid w:val="00DF77F1"/>
    <w:rsid w:val="00E03E6B"/>
    <w:rsid w:val="00E048CE"/>
    <w:rsid w:val="00E13939"/>
    <w:rsid w:val="00E611B7"/>
    <w:rsid w:val="00E6146C"/>
    <w:rsid w:val="00E65FBE"/>
    <w:rsid w:val="00E72D12"/>
    <w:rsid w:val="00E919F9"/>
    <w:rsid w:val="00E921C4"/>
    <w:rsid w:val="00EA0B00"/>
    <w:rsid w:val="00EA1F76"/>
    <w:rsid w:val="00EA553C"/>
    <w:rsid w:val="00EB6DFA"/>
    <w:rsid w:val="00EE679B"/>
    <w:rsid w:val="00EE7CAB"/>
    <w:rsid w:val="00EF2167"/>
    <w:rsid w:val="00EF41EB"/>
    <w:rsid w:val="00F119FF"/>
    <w:rsid w:val="00F27889"/>
    <w:rsid w:val="00F27922"/>
    <w:rsid w:val="00F30367"/>
    <w:rsid w:val="00F3400F"/>
    <w:rsid w:val="00F4391A"/>
    <w:rsid w:val="00F47BB6"/>
    <w:rsid w:val="00F5240E"/>
    <w:rsid w:val="00F55EA2"/>
    <w:rsid w:val="00F57B17"/>
    <w:rsid w:val="00F8399C"/>
    <w:rsid w:val="00F90E6D"/>
    <w:rsid w:val="00FA0CDC"/>
    <w:rsid w:val="00FB00C1"/>
    <w:rsid w:val="00FB4714"/>
    <w:rsid w:val="00FC08B0"/>
    <w:rsid w:val="00FC451B"/>
    <w:rsid w:val="00FD1A02"/>
    <w:rsid w:val="00FD5486"/>
    <w:rsid w:val="00FE1947"/>
    <w:rsid w:val="00FE494B"/>
    <w:rsid w:val="00FF2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C4F30"/>
  <w15:docId w15:val="{AB85A6BC-41E8-4C97-A0EF-85701058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D326D"/>
    <w:rPr>
      <w:color w:val="0000FF"/>
      <w:u w:val="single"/>
    </w:rPr>
  </w:style>
  <w:style w:type="character" w:styleId="Perirtashipersaitas">
    <w:name w:val="FollowedHyperlink"/>
    <w:rsid w:val="003E36E7"/>
    <w:rPr>
      <w:color w:val="800080"/>
      <w:u w:val="single"/>
    </w:rPr>
  </w:style>
  <w:style w:type="paragraph" w:customStyle="1" w:styleId="Char1Char">
    <w:name w:val="Char1 Char"/>
    <w:basedOn w:val="prastasis"/>
    <w:rsid w:val="00FE1947"/>
    <w:rPr>
      <w:szCs w:val="24"/>
      <w:lang w:val="pl-PL" w:eastAsia="pl-PL"/>
    </w:rPr>
  </w:style>
  <w:style w:type="character" w:customStyle="1" w:styleId="Neapdorotaspaminjimas1">
    <w:name w:val="Neapdorotas paminėjimas1"/>
    <w:basedOn w:val="Numatytasispastraiposriftas"/>
    <w:uiPriority w:val="99"/>
    <w:semiHidden/>
    <w:unhideWhenUsed/>
    <w:rsid w:val="00535B2D"/>
    <w:rPr>
      <w:color w:val="605E5C"/>
      <w:shd w:val="clear" w:color="auto" w:fill="E1DFDD"/>
    </w:rPr>
  </w:style>
  <w:style w:type="character" w:customStyle="1" w:styleId="Neapdorotaspaminjimas2">
    <w:name w:val="Neapdorotas paminėjimas2"/>
    <w:basedOn w:val="Numatytasispastraiposriftas"/>
    <w:uiPriority w:val="99"/>
    <w:semiHidden/>
    <w:unhideWhenUsed/>
    <w:rsid w:val="00B9029B"/>
    <w:rPr>
      <w:color w:val="605E5C"/>
      <w:shd w:val="clear" w:color="auto" w:fill="E1DFDD"/>
    </w:rPr>
  </w:style>
  <w:style w:type="character" w:styleId="Neapdorotaspaminjimas">
    <w:name w:val="Unresolved Mention"/>
    <w:basedOn w:val="Numatytasispastraiposriftas"/>
    <w:uiPriority w:val="99"/>
    <w:semiHidden/>
    <w:unhideWhenUsed/>
    <w:rsid w:val="00780D2C"/>
    <w:rPr>
      <w:color w:val="605E5C"/>
      <w:shd w:val="clear" w:color="auto" w:fill="E1DFDD"/>
    </w:rPr>
  </w:style>
  <w:style w:type="paragraph" w:styleId="Sraopastraipa">
    <w:name w:val="List Paragraph"/>
    <w:basedOn w:val="prastasis"/>
    <w:uiPriority w:val="34"/>
    <w:qFormat/>
    <w:rsid w:val="00277E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1675089">
      <w:bodyDiv w:val="1"/>
      <w:marLeft w:val="0"/>
      <w:marRight w:val="0"/>
      <w:marTop w:val="0"/>
      <w:marBottom w:val="0"/>
      <w:divBdr>
        <w:top w:val="none" w:sz="0" w:space="0" w:color="auto"/>
        <w:left w:val="none" w:sz="0" w:space="0" w:color="auto"/>
        <w:bottom w:val="none" w:sz="0" w:space="0" w:color="auto"/>
        <w:right w:val="none" w:sz="0" w:space="0" w:color="auto"/>
      </w:divBdr>
      <w:divsChild>
        <w:div w:id="1468086402">
          <w:marLeft w:val="0"/>
          <w:marRight w:val="0"/>
          <w:marTop w:val="100"/>
          <w:marBottom w:val="100"/>
          <w:divBdr>
            <w:top w:val="none" w:sz="0" w:space="0" w:color="auto"/>
            <w:left w:val="none" w:sz="0" w:space="0" w:color="auto"/>
            <w:bottom w:val="none" w:sz="0" w:space="0" w:color="auto"/>
            <w:right w:val="none" w:sz="0" w:space="0" w:color="auto"/>
          </w:divBdr>
          <w:divsChild>
            <w:div w:id="445779622">
              <w:marLeft w:val="0"/>
              <w:marRight w:val="0"/>
              <w:marTop w:val="0"/>
              <w:marBottom w:val="0"/>
              <w:divBdr>
                <w:top w:val="none" w:sz="0" w:space="0" w:color="auto"/>
                <w:left w:val="none" w:sz="0" w:space="0" w:color="auto"/>
                <w:bottom w:val="none" w:sz="0" w:space="0" w:color="auto"/>
                <w:right w:val="none" w:sz="0" w:space="0" w:color="auto"/>
              </w:divBdr>
              <w:divsChild>
                <w:div w:id="812330557">
                  <w:marLeft w:val="0"/>
                  <w:marRight w:val="0"/>
                  <w:marTop w:val="0"/>
                  <w:marBottom w:val="0"/>
                  <w:divBdr>
                    <w:top w:val="none" w:sz="0" w:space="0" w:color="auto"/>
                    <w:left w:val="none" w:sz="0" w:space="0" w:color="auto"/>
                    <w:bottom w:val="none" w:sz="0" w:space="0" w:color="auto"/>
                    <w:right w:val="none" w:sz="0" w:space="0" w:color="auto"/>
                  </w:divBdr>
                  <w:divsChild>
                    <w:div w:id="2138718338">
                      <w:marLeft w:val="0"/>
                      <w:marRight w:val="0"/>
                      <w:marTop w:val="0"/>
                      <w:marBottom w:val="0"/>
                      <w:divBdr>
                        <w:top w:val="none" w:sz="0" w:space="0" w:color="auto"/>
                        <w:left w:val="none" w:sz="0" w:space="0" w:color="auto"/>
                        <w:bottom w:val="none" w:sz="0" w:space="0" w:color="auto"/>
                        <w:right w:val="none" w:sz="0" w:space="0" w:color="auto"/>
                      </w:divBdr>
                      <w:divsChild>
                        <w:div w:id="887110286">
                          <w:marLeft w:val="0"/>
                          <w:marRight w:val="0"/>
                          <w:marTop w:val="0"/>
                          <w:marBottom w:val="0"/>
                          <w:divBdr>
                            <w:top w:val="none" w:sz="0" w:space="0" w:color="auto"/>
                            <w:left w:val="none" w:sz="0" w:space="0" w:color="auto"/>
                            <w:bottom w:val="none" w:sz="0" w:space="0" w:color="auto"/>
                            <w:right w:val="none" w:sz="0" w:space="0" w:color="auto"/>
                          </w:divBdr>
                          <w:divsChild>
                            <w:div w:id="831020563">
                              <w:marLeft w:val="0"/>
                              <w:marRight w:val="0"/>
                              <w:marTop w:val="0"/>
                              <w:marBottom w:val="0"/>
                              <w:divBdr>
                                <w:top w:val="none" w:sz="0" w:space="0" w:color="auto"/>
                                <w:left w:val="none" w:sz="0" w:space="0" w:color="auto"/>
                                <w:bottom w:val="none" w:sz="0" w:space="0" w:color="auto"/>
                                <w:right w:val="none" w:sz="0" w:space="0" w:color="auto"/>
                              </w:divBdr>
                              <w:divsChild>
                                <w:div w:id="1451129382">
                                  <w:marLeft w:val="0"/>
                                  <w:marRight w:val="0"/>
                                  <w:marTop w:val="0"/>
                                  <w:marBottom w:val="0"/>
                                  <w:divBdr>
                                    <w:top w:val="none" w:sz="0" w:space="0" w:color="auto"/>
                                    <w:left w:val="none" w:sz="0" w:space="0" w:color="auto"/>
                                    <w:bottom w:val="none" w:sz="0" w:space="0" w:color="auto"/>
                                    <w:right w:val="none" w:sz="0" w:space="0" w:color="auto"/>
                                  </w:divBdr>
                                  <w:divsChild>
                                    <w:div w:id="2075738609">
                                      <w:marLeft w:val="0"/>
                                      <w:marRight w:val="0"/>
                                      <w:marTop w:val="0"/>
                                      <w:marBottom w:val="0"/>
                                      <w:divBdr>
                                        <w:top w:val="none" w:sz="0" w:space="0" w:color="auto"/>
                                        <w:left w:val="none" w:sz="0" w:space="0" w:color="auto"/>
                                        <w:bottom w:val="none" w:sz="0" w:space="0" w:color="auto"/>
                                        <w:right w:val="none" w:sz="0" w:space="0" w:color="auto"/>
                                      </w:divBdr>
                                      <w:divsChild>
                                        <w:div w:id="941760994">
                                          <w:marLeft w:val="0"/>
                                          <w:marRight w:val="0"/>
                                          <w:marTop w:val="0"/>
                                          <w:marBottom w:val="0"/>
                                          <w:divBdr>
                                            <w:top w:val="none" w:sz="0" w:space="0" w:color="auto"/>
                                            <w:left w:val="none" w:sz="0" w:space="0" w:color="auto"/>
                                            <w:bottom w:val="none" w:sz="0" w:space="0" w:color="auto"/>
                                            <w:right w:val="none" w:sz="0" w:space="0" w:color="auto"/>
                                          </w:divBdr>
                                          <w:divsChild>
                                            <w:div w:id="2006007090">
                                              <w:marLeft w:val="0"/>
                                              <w:marRight w:val="0"/>
                                              <w:marTop w:val="0"/>
                                              <w:marBottom w:val="0"/>
                                              <w:divBdr>
                                                <w:top w:val="none" w:sz="0" w:space="0" w:color="auto"/>
                                                <w:left w:val="none" w:sz="0" w:space="0" w:color="auto"/>
                                                <w:bottom w:val="none" w:sz="0" w:space="0" w:color="auto"/>
                                                <w:right w:val="none" w:sz="0" w:space="0" w:color="auto"/>
                                              </w:divBdr>
                                              <w:divsChild>
                                                <w:div w:id="740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OJ:L_202402145" TargetMode="External"/><Relationship Id="rId13" Type="http://schemas.openxmlformats.org/officeDocument/2006/relationships/hyperlink" Target="https://eur-lex.europa.eu/legal-content/LT/TXT/?uri=CELEX%3A02015R2447-20251101&amp;qid=1779988484407" TargetMode="External"/><Relationship Id="rId18" Type="http://schemas.openxmlformats.org/officeDocument/2006/relationships/hyperlink" Target="https://eur-lex.europa.eu/legal-content/LT/TXT/PDF/?uri=CELEX:32009R1186&amp;qid=1689576819815" TargetMode="External"/><Relationship Id="rId3" Type="http://schemas.openxmlformats.org/officeDocument/2006/relationships/styles" Target="styles.xml"/><Relationship Id="rId21" Type="http://schemas.openxmlformats.org/officeDocument/2006/relationships/hyperlink" Target="https://eur-lex.europa.eu/legal-content/LT/TXT/PDF/?uri=CELEX:02011R1225-20130701&amp;qid=1689577036833" TargetMode="External"/><Relationship Id="rId7" Type="http://schemas.openxmlformats.org/officeDocument/2006/relationships/hyperlink" Target="https://eur-lex.europa.eu/legal-content/LT/TXT/?uri=OJ:L_202402514" TargetMode="External"/><Relationship Id="rId12" Type="http://schemas.openxmlformats.org/officeDocument/2006/relationships/hyperlink" Target="https://eur-lex.europa.eu/legal-content/LT/TXT/?uri=CELEX%3A02015R2446-20250225&amp;qid=1741879517040" TargetMode="External"/><Relationship Id="rId17" Type="http://schemas.openxmlformats.org/officeDocument/2006/relationships/hyperlink" Target="https://eur-lex.europa.eu/legal-content/LT/TXT/?uri=CELEX%3A01987R2658-20230617&amp;qid=168715261049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ur-lex.europa.eu/legal-content/LT/TXT/?uri=OJ:L_202302879" TargetMode="External"/><Relationship Id="rId20" Type="http://schemas.openxmlformats.org/officeDocument/2006/relationships/hyperlink" Target="https://eur-lex.europa.eu/legal-content/LT/TXT/PDF/?uri=CELEX:02011R1224-20130701&amp;qid=1689576962155" TargetMode="External"/><Relationship Id="rId1" Type="http://schemas.openxmlformats.org/officeDocument/2006/relationships/customXml" Target="../customXml/item1.xml"/><Relationship Id="rId6" Type="http://schemas.openxmlformats.org/officeDocument/2006/relationships/hyperlink" Target="https://eur-lex.europa.eu/legal-content/LT/TXT/?uri=CELEX%3A32022R2399&amp;qid=1732086080977" TargetMode="External"/><Relationship Id="rId11" Type="http://schemas.openxmlformats.org/officeDocument/2006/relationships/hyperlink" Target="https://eur-lex.europa.eu/legal-content/LT/TXT/?uri=CELEX%3A02013R0952-20221212&amp;qid=167333502478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ur-lex.europa.eu/legal-content/LT/TXT/PDF/?uri=CELEX:02016R0341-20210315&amp;qid=1621576582180&amp;from=LT" TargetMode="External"/><Relationship Id="rId23" Type="http://schemas.openxmlformats.org/officeDocument/2006/relationships/hyperlink" Target="https://eur-lex.europa.eu/legal-content/LT/TXT/PDF/?uri=CELEX:31988R3915&amp;qid=1689577191678" TargetMode="External"/><Relationship Id="rId10" Type="http://schemas.openxmlformats.org/officeDocument/2006/relationships/hyperlink" Target="http://eur-lex.europa.eu/JOIndex.do?ihmlang=lt" TargetMode="External"/><Relationship Id="rId19" Type="http://schemas.openxmlformats.org/officeDocument/2006/relationships/hyperlink" Target="https://eur-lex.europa.eu/legal-content/LT/TXT/?uri=OJ:L_202690233" TargetMode="External"/><Relationship Id="rId4" Type="http://schemas.openxmlformats.org/officeDocument/2006/relationships/settings" Target="settings.xml"/><Relationship Id="rId9" Type="http://schemas.openxmlformats.org/officeDocument/2006/relationships/hyperlink" Target="http://eur-lex.europa.eu/lt/index.htm" TargetMode="External"/><Relationship Id="rId14" Type="http://schemas.openxmlformats.org/officeDocument/2006/relationships/hyperlink" Target="https://eur-lex.europa.eu/legal-content/LT/TXT/?uri=OJ:L_202600329" TargetMode="External"/><Relationship Id="rId22" Type="http://schemas.openxmlformats.org/officeDocument/2006/relationships/hyperlink" Target="https://eur-lex.europa.eu/legal-content/LT/TXT/PDF/?uri=CELEX:02012R0080-20130311&amp;qid=1689577100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7798-7836-406A-A6C8-F3A7758E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Pages>
  <Words>4668</Words>
  <Characters>2662</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ES teisės aktai</vt:lpstr>
      <vt:lpstr>ES teisės aktai</vt:lpstr>
    </vt:vector>
  </TitlesOfParts>
  <Company/>
  <LinksUpToDate>false</LinksUpToDate>
  <CharactersWithSpaces>7316</CharactersWithSpaces>
  <SharedDoc>false</SharedDoc>
  <HLinks>
    <vt:vector size="108" baseType="variant">
      <vt:variant>
        <vt:i4>7929921</vt:i4>
      </vt:variant>
      <vt:variant>
        <vt:i4>51</vt:i4>
      </vt:variant>
      <vt:variant>
        <vt:i4>0</vt:i4>
      </vt:variant>
      <vt:variant>
        <vt:i4>5</vt:i4>
      </vt:variant>
      <vt:variant>
        <vt:lpwstr>../../../AKTAI/REGLAMENTAI/R3915_1988_19881215_LT.pdf</vt:lpwstr>
      </vt:variant>
      <vt:variant>
        <vt:lpwstr/>
      </vt:variant>
      <vt:variant>
        <vt:i4>7864387</vt:i4>
      </vt:variant>
      <vt:variant>
        <vt:i4>48</vt:i4>
      </vt:variant>
      <vt:variant>
        <vt:i4>0</vt:i4>
      </vt:variant>
      <vt:variant>
        <vt:i4>5</vt:i4>
      </vt:variant>
      <vt:variant>
        <vt:lpwstr>../../../AKTAI/REGLAMENTAI/R0080_2012_20130311_LT.pdf</vt:lpwstr>
      </vt:variant>
      <vt:variant>
        <vt:lpwstr/>
      </vt:variant>
      <vt:variant>
        <vt:i4>8061002</vt:i4>
      </vt:variant>
      <vt:variant>
        <vt:i4>45</vt:i4>
      </vt:variant>
      <vt:variant>
        <vt:i4>0</vt:i4>
      </vt:variant>
      <vt:variant>
        <vt:i4>5</vt:i4>
      </vt:variant>
      <vt:variant>
        <vt:lpwstr>../../../AKTAI/REGLAMENTAI/R1225_2011_20130701_LT.pdf</vt:lpwstr>
      </vt:variant>
      <vt:variant>
        <vt:lpwstr/>
      </vt:variant>
      <vt:variant>
        <vt:i4>7995466</vt:i4>
      </vt:variant>
      <vt:variant>
        <vt:i4>42</vt:i4>
      </vt:variant>
      <vt:variant>
        <vt:i4>0</vt:i4>
      </vt:variant>
      <vt:variant>
        <vt:i4>5</vt:i4>
      </vt:variant>
      <vt:variant>
        <vt:lpwstr>../../../AKTAI/REGLAMENTAI/R1224_2011_20130701_LT.pdf</vt:lpwstr>
      </vt:variant>
      <vt:variant>
        <vt:lpwstr/>
      </vt:variant>
      <vt:variant>
        <vt:i4>7405641</vt:i4>
      </vt:variant>
      <vt:variant>
        <vt:i4>39</vt:i4>
      </vt:variant>
      <vt:variant>
        <vt:i4>0</vt:i4>
      </vt:variant>
      <vt:variant>
        <vt:i4>5</vt:i4>
      </vt:variant>
      <vt:variant>
        <vt:lpwstr>../../../AKTAI/REGLAMENTAI/R1186_2009_20091116_LT.pdf</vt:lpwstr>
      </vt:variant>
      <vt:variant>
        <vt:lpwstr/>
      </vt:variant>
      <vt:variant>
        <vt:i4>4915227</vt:i4>
      </vt:variant>
      <vt:variant>
        <vt:i4>36</vt:i4>
      </vt:variant>
      <vt:variant>
        <vt:i4>0</vt:i4>
      </vt:variant>
      <vt:variant>
        <vt:i4>5</vt:i4>
      </vt:variant>
      <vt:variant>
        <vt:lpwstr>http://www.cust.lt/web/guest/verslui/tarifinisreguliavimas/prekiuklasifikavimas/nomenklatura</vt:lpwstr>
      </vt:variant>
      <vt:variant>
        <vt:lpwstr/>
      </vt:variant>
      <vt:variant>
        <vt:i4>8192064</vt:i4>
      </vt:variant>
      <vt:variant>
        <vt:i4>33</vt:i4>
      </vt:variant>
      <vt:variant>
        <vt:i4>0</vt:i4>
      </vt:variant>
      <vt:variant>
        <vt:i4>5</vt:i4>
      </vt:variant>
      <vt:variant>
        <vt:lpwstr>../../../AKTAI/REGLAMENTAI/R2658_1987_20000101_LT.pdf</vt:lpwstr>
      </vt:variant>
      <vt:variant>
        <vt:lpwstr/>
      </vt:variant>
      <vt:variant>
        <vt:i4>327751</vt:i4>
      </vt:variant>
      <vt:variant>
        <vt:i4>30</vt:i4>
      </vt:variant>
      <vt:variant>
        <vt:i4>0</vt:i4>
      </vt:variant>
      <vt:variant>
        <vt:i4>5</vt:i4>
      </vt:variant>
      <vt:variant>
        <vt:lpwstr>http://eur-lex.europa.eu/legal-content/LT/TXT/?qid=1461655002432&amp;uri=CELEX:32016D0578</vt:lpwstr>
      </vt:variant>
      <vt:variant>
        <vt:lpwstr/>
      </vt:variant>
      <vt:variant>
        <vt:i4>8061002</vt:i4>
      </vt:variant>
      <vt:variant>
        <vt:i4>27</vt:i4>
      </vt:variant>
      <vt:variant>
        <vt:i4>0</vt:i4>
      </vt:variant>
      <vt:variant>
        <vt:i4>5</vt:i4>
      </vt:variant>
      <vt:variant>
        <vt:lpwstr>../../../AKTAI/REGLAMENTAI/R0341_2016_20151217_LT.pdf</vt:lpwstr>
      </vt:variant>
      <vt:variant>
        <vt:lpwstr/>
      </vt:variant>
      <vt:variant>
        <vt:i4>7995464</vt:i4>
      </vt:variant>
      <vt:variant>
        <vt:i4>24</vt:i4>
      </vt:variant>
      <vt:variant>
        <vt:i4>0</vt:i4>
      </vt:variant>
      <vt:variant>
        <vt:i4>5</vt:i4>
      </vt:variant>
      <vt:variant>
        <vt:lpwstr>../../../AKTAI/REGLAMENTAI/R2447_2015_20151124_LT.pdf</vt:lpwstr>
      </vt:variant>
      <vt:variant>
        <vt:lpwstr/>
      </vt:variant>
      <vt:variant>
        <vt:i4>8061002</vt:i4>
      </vt:variant>
      <vt:variant>
        <vt:i4>21</vt:i4>
      </vt:variant>
      <vt:variant>
        <vt:i4>0</vt:i4>
      </vt:variant>
      <vt:variant>
        <vt:i4>5</vt:i4>
      </vt:variant>
      <vt:variant>
        <vt:lpwstr>../../../AKTAI/REGLAMENTAI/R0341_2016_20151217_LT.pdf</vt:lpwstr>
      </vt:variant>
      <vt:variant>
        <vt:lpwstr/>
      </vt:variant>
      <vt:variant>
        <vt:i4>7405641</vt:i4>
      </vt:variant>
      <vt:variant>
        <vt:i4>18</vt:i4>
      </vt:variant>
      <vt:variant>
        <vt:i4>0</vt:i4>
      </vt:variant>
      <vt:variant>
        <vt:i4>5</vt:i4>
      </vt:variant>
      <vt:variant>
        <vt:lpwstr>../../../AKTAI/REGLAMENTAI/R2446_2015_20150728_LT.pdf</vt:lpwstr>
      </vt:variant>
      <vt:variant>
        <vt:lpwstr/>
      </vt:variant>
      <vt:variant>
        <vt:i4>7798862</vt:i4>
      </vt:variant>
      <vt:variant>
        <vt:i4>15</vt:i4>
      </vt:variant>
      <vt:variant>
        <vt:i4>0</vt:i4>
      </vt:variant>
      <vt:variant>
        <vt:i4>5</vt:i4>
      </vt:variant>
      <vt:variant>
        <vt:lpwstr>../../../AKTAI/REGLAMENTAI/R0952_2013_20150101_LT.pdf</vt:lpwstr>
      </vt:variant>
      <vt:variant>
        <vt:lpwstr/>
      </vt:variant>
      <vt:variant>
        <vt:i4>7995450</vt:i4>
      </vt:variant>
      <vt:variant>
        <vt:i4>12</vt:i4>
      </vt:variant>
      <vt:variant>
        <vt:i4>0</vt:i4>
      </vt:variant>
      <vt:variant>
        <vt:i4>5</vt:i4>
      </vt:variant>
      <vt:variant>
        <vt:lpwstr>http://eur-lex.europa.eu/eu-enlargement/lt/special.html</vt:lpwstr>
      </vt:variant>
      <vt:variant>
        <vt:lpwstr/>
      </vt:variant>
      <vt:variant>
        <vt:i4>7536736</vt:i4>
      </vt:variant>
      <vt:variant>
        <vt:i4>9</vt:i4>
      </vt:variant>
      <vt:variant>
        <vt:i4>0</vt:i4>
      </vt:variant>
      <vt:variant>
        <vt:i4>5</vt:i4>
      </vt:variant>
      <vt:variant>
        <vt:lpwstr>http://eur-lex.europa.eu/JOIndex.do?ihmlang=lt</vt:lpwstr>
      </vt:variant>
      <vt:variant>
        <vt:lpwstr/>
      </vt:variant>
      <vt:variant>
        <vt:i4>1245307</vt:i4>
      </vt:variant>
      <vt:variant>
        <vt:i4>6</vt:i4>
      </vt:variant>
      <vt:variant>
        <vt:i4>0</vt:i4>
      </vt:variant>
      <vt:variant>
        <vt:i4>5</vt:i4>
      </vt:variant>
      <vt:variant>
        <vt:lpwstr>http://www3.lrs.lt/pls/inter1/dokpaieska.forma_l</vt:lpwstr>
      </vt:variant>
      <vt:variant>
        <vt:lpwstr/>
      </vt:variant>
      <vt:variant>
        <vt:i4>1769499</vt:i4>
      </vt:variant>
      <vt:variant>
        <vt:i4>3</vt:i4>
      </vt:variant>
      <vt:variant>
        <vt:i4>0</vt:i4>
      </vt:variant>
      <vt:variant>
        <vt:i4>5</vt:i4>
      </vt:variant>
      <vt:variant>
        <vt:lpwstr>http://eur-lex.europa.eu/content/help/pages/help-default.html</vt:lpwstr>
      </vt:variant>
      <vt:variant>
        <vt:lpwstr/>
      </vt:variant>
      <vt:variant>
        <vt:i4>393282</vt:i4>
      </vt:variant>
      <vt:variant>
        <vt:i4>0</vt:i4>
      </vt:variant>
      <vt:variant>
        <vt:i4>0</vt:i4>
      </vt:variant>
      <vt:variant>
        <vt:i4>5</vt:i4>
      </vt:variant>
      <vt:variant>
        <vt:lpwstr>http://eur-lex.europa.eu/lt/index.htm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teisės aktai</dc:title>
  <dc:creator>md0032</dc:creator>
  <cp:lastModifiedBy>Rimantas Rackauskas</cp:lastModifiedBy>
  <cp:revision>317</cp:revision>
  <cp:lastPrinted>2013-10-15T07:21:00Z</cp:lastPrinted>
  <dcterms:created xsi:type="dcterms:W3CDTF">2016-08-02T06:04:00Z</dcterms:created>
  <dcterms:modified xsi:type="dcterms:W3CDTF">2026-05-28T17:16:00Z</dcterms:modified>
</cp:coreProperties>
</file>