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F45B2" w14:textId="77777777" w:rsidR="00D1413B" w:rsidRDefault="00D1413B" w:rsidP="00781E55">
      <w:pPr>
        <w:rPr>
          <w:rFonts w:ascii="Times New Roman" w:hAnsi="Times New Roman" w:cs="Times New Roman"/>
          <w:b/>
          <w:sz w:val="24"/>
          <w:szCs w:val="24"/>
          <w:lang w:val="lt-LT"/>
        </w:rPr>
      </w:pPr>
    </w:p>
    <w:p w14:paraId="726C648A" w14:textId="431F0B76" w:rsidR="00DB430D" w:rsidRDefault="00670323" w:rsidP="00DB430D">
      <w:pPr>
        <w:jc w:val="center"/>
        <w:rPr>
          <w:rFonts w:ascii="Times New Roman" w:hAnsi="Times New Roman" w:cs="Times New Roman"/>
          <w:b/>
          <w:sz w:val="24"/>
          <w:szCs w:val="24"/>
          <w:lang w:val="lt-LT"/>
        </w:rPr>
      </w:pPr>
      <w:r>
        <w:rPr>
          <w:rFonts w:ascii="Times New Roman" w:hAnsi="Times New Roman" w:cs="Times New Roman"/>
          <w:b/>
          <w:sz w:val="24"/>
          <w:szCs w:val="24"/>
          <w:lang w:val="lt-LT"/>
        </w:rPr>
        <w:t>SUSITARIMAS</w:t>
      </w:r>
    </w:p>
    <w:p w14:paraId="4359F6A5" w14:textId="77777777" w:rsidR="0069734F" w:rsidRDefault="00DB430D" w:rsidP="00DB430D">
      <w:pPr>
        <w:jc w:val="center"/>
        <w:rPr>
          <w:rFonts w:ascii="Times New Roman" w:hAnsi="Times New Roman" w:cs="Times New Roman"/>
          <w:b/>
          <w:sz w:val="24"/>
          <w:szCs w:val="24"/>
          <w:lang w:val="lt-LT"/>
        </w:rPr>
      </w:pPr>
      <w:r w:rsidRPr="00DB430D">
        <w:rPr>
          <w:rFonts w:ascii="Times New Roman" w:hAnsi="Times New Roman" w:cs="Times New Roman"/>
          <w:b/>
          <w:sz w:val="24"/>
          <w:szCs w:val="24"/>
          <w:lang w:val="lt-LT"/>
        </w:rPr>
        <w:t>DĖL VALSTYBĖS SIEKIAMŲ TIKSLŲ IR KELIAMŲ LŪKESČIŲ</w:t>
      </w:r>
    </w:p>
    <w:p w14:paraId="6D580329" w14:textId="4EE671C1" w:rsidR="00DB430D" w:rsidRDefault="00781E55" w:rsidP="00396D65">
      <w:pPr>
        <w:spacing w:after="0"/>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MUITINĖS LABORATORIJOS DIREKTORIUI </w:t>
      </w:r>
    </w:p>
    <w:p w14:paraId="0A4D41C8" w14:textId="552AE9FB" w:rsidR="00396D65" w:rsidRPr="00C51780" w:rsidRDefault="00396D65" w:rsidP="00C51780">
      <w:pPr>
        <w:shd w:val="clear" w:color="auto" w:fill="FFFFFF"/>
        <w:spacing w:after="0" w:line="240" w:lineRule="auto"/>
        <w:jc w:val="center"/>
        <w:textAlignment w:val="baseline"/>
        <w:rPr>
          <w:rFonts w:ascii="Times New Roman" w:hAnsi="Times New Roman" w:cs="Times New Roman"/>
          <w:color w:val="000000"/>
          <w:sz w:val="20"/>
          <w:szCs w:val="20"/>
          <w:lang w:val="lt-LT"/>
        </w:rPr>
      </w:pPr>
      <w:r w:rsidRPr="0069734F">
        <w:rPr>
          <w:rFonts w:ascii="Times New Roman" w:hAnsi="Times New Roman" w:cs="Times New Roman"/>
          <w:color w:val="000000"/>
          <w:sz w:val="20"/>
          <w:szCs w:val="20"/>
          <w:lang w:val="lt-LT"/>
        </w:rPr>
        <w:t>(</w:t>
      </w:r>
      <w:r>
        <w:rPr>
          <w:rFonts w:ascii="Times New Roman" w:hAnsi="Times New Roman" w:cs="Times New Roman"/>
          <w:color w:val="000000"/>
          <w:sz w:val="20"/>
          <w:szCs w:val="20"/>
          <w:lang w:val="lt-LT"/>
        </w:rPr>
        <w:t>įrašyti pavadinimą</w:t>
      </w:r>
      <w:r w:rsidRPr="0069734F">
        <w:rPr>
          <w:rFonts w:ascii="Times New Roman" w:hAnsi="Times New Roman" w:cs="Times New Roman"/>
          <w:color w:val="000000"/>
          <w:sz w:val="20"/>
          <w:szCs w:val="20"/>
          <w:lang w:val="lt-LT"/>
        </w:rPr>
        <w:t>)</w:t>
      </w:r>
    </w:p>
    <w:tbl>
      <w:tblPr>
        <w:tblStyle w:val="Lentelstinklelis"/>
        <w:tblW w:w="0" w:type="auto"/>
        <w:tblInd w:w="3681" w:type="dxa"/>
        <w:tblLook w:val="04A0" w:firstRow="1" w:lastRow="0" w:firstColumn="1" w:lastColumn="0" w:noHBand="0" w:noVBand="1"/>
      </w:tblPr>
      <w:tblGrid>
        <w:gridCol w:w="2268"/>
      </w:tblGrid>
      <w:tr w:rsidR="00DB430D" w:rsidRPr="0069734F" w14:paraId="596A01B0" w14:textId="77777777" w:rsidTr="00EC60F3">
        <w:tc>
          <w:tcPr>
            <w:tcW w:w="2268" w:type="dxa"/>
            <w:tcBorders>
              <w:top w:val="nil"/>
              <w:left w:val="nil"/>
              <w:right w:val="nil"/>
            </w:tcBorders>
          </w:tcPr>
          <w:p w14:paraId="647E3953" w14:textId="01F4B271" w:rsidR="00DB430D" w:rsidRPr="0069734F" w:rsidRDefault="00781E55" w:rsidP="00396D65">
            <w:pPr>
              <w:spacing w:before="120"/>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2024-01-</w:t>
            </w:r>
            <w:r w:rsidR="007C100D">
              <w:rPr>
                <w:rFonts w:ascii="Times New Roman" w:hAnsi="Times New Roman" w:cs="Times New Roman"/>
                <w:color w:val="000000"/>
                <w:sz w:val="24"/>
                <w:szCs w:val="24"/>
              </w:rPr>
              <w:t>04</w:t>
            </w:r>
          </w:p>
        </w:tc>
      </w:tr>
    </w:tbl>
    <w:p w14:paraId="52CFA34A" w14:textId="77777777" w:rsidR="00DB430D" w:rsidRPr="0069734F" w:rsidRDefault="00DB430D" w:rsidP="00396D65">
      <w:pPr>
        <w:shd w:val="clear" w:color="auto" w:fill="FFFFFF"/>
        <w:spacing w:after="0"/>
        <w:jc w:val="center"/>
        <w:textAlignment w:val="baseline"/>
        <w:rPr>
          <w:rFonts w:ascii="Times New Roman" w:hAnsi="Times New Roman" w:cs="Times New Roman"/>
          <w:color w:val="000000"/>
          <w:sz w:val="20"/>
          <w:szCs w:val="20"/>
          <w:lang w:val="lt-LT"/>
        </w:rPr>
      </w:pPr>
      <w:r w:rsidRPr="0069734F">
        <w:rPr>
          <w:rFonts w:ascii="Times New Roman" w:hAnsi="Times New Roman" w:cs="Times New Roman"/>
          <w:color w:val="000000"/>
          <w:sz w:val="20"/>
          <w:szCs w:val="20"/>
          <w:lang w:val="lt-LT"/>
        </w:rPr>
        <w:t>(data)</w:t>
      </w:r>
    </w:p>
    <w:p w14:paraId="4CDEA5C9" w14:textId="0247EB8F" w:rsidR="00781E55" w:rsidRPr="00781E55" w:rsidRDefault="00781E55" w:rsidP="00396D65">
      <w:pPr>
        <w:shd w:val="clear" w:color="auto" w:fill="FFFFFF"/>
        <w:spacing w:after="0"/>
        <w:jc w:val="center"/>
        <w:textAlignment w:val="baseline"/>
        <w:rPr>
          <w:rFonts w:ascii="Times New Roman" w:hAnsi="Times New Roman" w:cs="Times New Roman"/>
          <w:color w:val="000000"/>
          <w:sz w:val="24"/>
          <w:szCs w:val="24"/>
          <w:lang w:val="lt-LT"/>
        </w:rPr>
      </w:pPr>
      <w:r w:rsidRPr="00781E55">
        <w:rPr>
          <w:rFonts w:ascii="Times New Roman" w:hAnsi="Times New Roman" w:cs="Times New Roman"/>
          <w:color w:val="000000"/>
          <w:sz w:val="24"/>
          <w:szCs w:val="24"/>
          <w:lang w:val="lt-LT"/>
        </w:rPr>
        <w:t>Vilnius</w:t>
      </w:r>
    </w:p>
    <w:p w14:paraId="62D3F759" w14:textId="4C900A0E" w:rsidR="00DB430D" w:rsidRPr="0069734F" w:rsidRDefault="00DB430D" w:rsidP="00396D65">
      <w:pPr>
        <w:shd w:val="clear" w:color="auto" w:fill="FFFFFF"/>
        <w:spacing w:after="0"/>
        <w:jc w:val="center"/>
        <w:textAlignment w:val="baseline"/>
        <w:rPr>
          <w:rFonts w:ascii="Times New Roman" w:hAnsi="Times New Roman" w:cs="Times New Roman"/>
          <w:color w:val="000000"/>
          <w:sz w:val="20"/>
          <w:szCs w:val="20"/>
          <w:lang w:val="lt-LT"/>
        </w:rPr>
      </w:pPr>
      <w:r w:rsidRPr="0069734F">
        <w:rPr>
          <w:rFonts w:ascii="Times New Roman" w:hAnsi="Times New Roman" w:cs="Times New Roman"/>
          <w:color w:val="000000"/>
          <w:sz w:val="20"/>
          <w:szCs w:val="20"/>
          <w:lang w:val="lt-LT"/>
        </w:rPr>
        <w:t>(sudarymo vieta)</w:t>
      </w:r>
    </w:p>
    <w:p w14:paraId="78C50DC9" w14:textId="77777777" w:rsidR="00DB430D" w:rsidRDefault="00DB430D" w:rsidP="00B60EC1">
      <w:pPr>
        <w:jc w:val="both"/>
        <w:rPr>
          <w:rFonts w:ascii="Times New Roman" w:hAnsi="Times New Roman" w:cs="Times New Roman"/>
          <w:sz w:val="24"/>
          <w:szCs w:val="24"/>
          <w:lang w:val="lt-LT"/>
        </w:rPr>
      </w:pPr>
    </w:p>
    <w:p w14:paraId="1CD78E58" w14:textId="7C2C5B2D" w:rsidR="00781E55" w:rsidRPr="00EC3689" w:rsidRDefault="00781E55" w:rsidP="00B60EC1">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Darius Žvironas, </w:t>
      </w:r>
      <w:r w:rsidRPr="00781E55">
        <w:rPr>
          <w:rFonts w:ascii="Times New Roman" w:hAnsi="Times New Roman" w:cs="Times New Roman"/>
          <w:sz w:val="24"/>
          <w:szCs w:val="24"/>
          <w:lang w:val="lt-LT"/>
        </w:rPr>
        <w:t>Muitinės departamento prie Lietuvos Respublikos finansų ministerijos generalinis direktorius</w:t>
      </w:r>
      <w:r>
        <w:rPr>
          <w:rFonts w:ascii="Times New Roman" w:hAnsi="Times New Roman" w:cs="Times New Roman"/>
          <w:sz w:val="24"/>
          <w:szCs w:val="24"/>
          <w:lang w:val="lt-LT"/>
        </w:rPr>
        <w:t>,</w:t>
      </w:r>
      <w:r w:rsidRPr="00781E55">
        <w:rPr>
          <w:rFonts w:ascii="Times New Roman" w:hAnsi="Times New Roman" w:cs="Times New Roman"/>
          <w:sz w:val="24"/>
          <w:szCs w:val="24"/>
          <w:lang w:val="lt-LT"/>
        </w:rPr>
        <w:t xml:space="preserve"> ir Lina </w:t>
      </w:r>
      <w:proofErr w:type="spellStart"/>
      <w:r w:rsidRPr="00781E55">
        <w:rPr>
          <w:rFonts w:ascii="Times New Roman" w:hAnsi="Times New Roman" w:cs="Times New Roman"/>
          <w:sz w:val="24"/>
          <w:szCs w:val="24"/>
          <w:lang w:val="lt-LT"/>
        </w:rPr>
        <w:t>Baltokienė</w:t>
      </w:r>
      <w:proofErr w:type="spellEnd"/>
      <w:r>
        <w:rPr>
          <w:rFonts w:ascii="Times New Roman" w:hAnsi="Times New Roman" w:cs="Times New Roman"/>
          <w:sz w:val="24"/>
          <w:szCs w:val="24"/>
          <w:lang w:val="lt-LT"/>
        </w:rPr>
        <w:t>, Muitinės laboratorijos direktorė,</w:t>
      </w:r>
      <w:r w:rsidRPr="00781E55">
        <w:rPr>
          <w:rFonts w:ascii="Times New Roman" w:hAnsi="Times New Roman" w:cs="Times New Roman"/>
          <w:sz w:val="24"/>
          <w:szCs w:val="24"/>
          <w:lang w:val="lt-LT"/>
        </w:rPr>
        <w:t xml:space="preserve"> vadovaudamiesi </w:t>
      </w:r>
      <w:r w:rsidR="00B60EC1">
        <w:rPr>
          <w:rFonts w:ascii="Times New Roman" w:hAnsi="Times New Roman" w:cs="Times New Roman"/>
          <w:sz w:val="24"/>
          <w:szCs w:val="24"/>
          <w:lang w:val="lt-LT"/>
        </w:rPr>
        <w:t>Lietuvos Respublikos v</w:t>
      </w:r>
      <w:r w:rsidRPr="00781E55">
        <w:rPr>
          <w:rFonts w:ascii="Times New Roman" w:hAnsi="Times New Roman" w:cs="Times New Roman"/>
          <w:sz w:val="24"/>
          <w:szCs w:val="24"/>
          <w:lang w:val="lt-LT"/>
        </w:rPr>
        <w:t>alstybės tarnybos įstatymo 1</w:t>
      </w:r>
      <w:r>
        <w:rPr>
          <w:rFonts w:ascii="Times New Roman" w:hAnsi="Times New Roman" w:cs="Times New Roman"/>
          <w:sz w:val="24"/>
          <w:szCs w:val="24"/>
          <w:lang w:val="lt-LT"/>
        </w:rPr>
        <w:t>3</w:t>
      </w:r>
      <w:r w:rsidRPr="00781E55">
        <w:rPr>
          <w:rFonts w:ascii="Times New Roman" w:hAnsi="Times New Roman" w:cs="Times New Roman"/>
          <w:sz w:val="24"/>
          <w:szCs w:val="24"/>
          <w:lang w:val="lt-LT"/>
        </w:rPr>
        <w:t xml:space="preserve"> straipsnio 4 dalimi</w:t>
      </w:r>
      <w:r>
        <w:rPr>
          <w:rFonts w:ascii="Times New Roman" w:hAnsi="Times New Roman" w:cs="Times New Roman"/>
          <w:sz w:val="24"/>
          <w:szCs w:val="24"/>
          <w:lang w:val="lt-LT"/>
        </w:rPr>
        <w:t>,</w:t>
      </w:r>
      <w:r w:rsidRPr="00781E55">
        <w:rPr>
          <w:rFonts w:ascii="Times New Roman" w:hAnsi="Times New Roman" w:cs="Times New Roman"/>
          <w:sz w:val="24"/>
          <w:szCs w:val="24"/>
          <w:lang w:val="lt-LT"/>
        </w:rPr>
        <w:t xml:space="preserve"> sudaro šį susitarimą dėl pagrindinių Muitinės laboratorijos direktoriaus kadencijos laikotarpio ir (ar) tam tikrų jo etapų veiklos tikslų ir rezultatų.</w:t>
      </w:r>
    </w:p>
    <w:p w14:paraId="5EF7C7E8" w14:textId="23E2397C" w:rsidR="00DB430D" w:rsidRPr="00670323" w:rsidRDefault="00A656B8" w:rsidP="00781E55">
      <w:pPr>
        <w:pStyle w:val="Sraopastraipa"/>
        <w:ind w:left="1080"/>
        <w:jc w:val="both"/>
        <w:rPr>
          <w:rFonts w:ascii="Times New Roman" w:hAnsi="Times New Roman" w:cs="Times New Roman"/>
          <w:sz w:val="24"/>
          <w:szCs w:val="24"/>
          <w:lang w:val="lt-LT"/>
        </w:rPr>
      </w:pPr>
      <w:r>
        <w:rPr>
          <w:rFonts w:ascii="Times New Roman" w:eastAsia="Times New Roman" w:hAnsi="Times New Roman" w:cs="Times New Roman"/>
          <w:spacing w:val="2"/>
          <w:sz w:val="24"/>
          <w:szCs w:val="24"/>
          <w:lang w:val="lt-LT" w:eastAsia="lt-LT"/>
        </w:rPr>
        <w:t xml:space="preserve">I. </w:t>
      </w:r>
      <w:r w:rsidR="00DB430D" w:rsidRPr="00B57995">
        <w:rPr>
          <w:rFonts w:ascii="Times New Roman" w:eastAsia="Times New Roman" w:hAnsi="Times New Roman" w:cs="Times New Roman"/>
          <w:spacing w:val="2"/>
          <w:sz w:val="24"/>
          <w:szCs w:val="24"/>
          <w:lang w:val="lt-LT" w:eastAsia="lt-LT"/>
        </w:rPr>
        <w:t>ĮSTAIGOS PASKIRTIS IR VEIKLOS KRYPTYS</w:t>
      </w:r>
    </w:p>
    <w:tbl>
      <w:tblPr>
        <w:tblStyle w:val="Lentelstinklelis"/>
        <w:tblW w:w="0" w:type="auto"/>
        <w:tblInd w:w="360" w:type="dxa"/>
        <w:tblLook w:val="04A0" w:firstRow="1" w:lastRow="0" w:firstColumn="1" w:lastColumn="0" w:noHBand="0" w:noVBand="1"/>
      </w:tblPr>
      <w:tblGrid>
        <w:gridCol w:w="8990"/>
      </w:tblGrid>
      <w:tr w:rsidR="00670323" w:rsidRPr="00F85C6D" w14:paraId="399009A5" w14:textId="77777777" w:rsidTr="00E745FF">
        <w:trPr>
          <w:trHeight w:val="1555"/>
        </w:trPr>
        <w:tc>
          <w:tcPr>
            <w:tcW w:w="8990" w:type="dxa"/>
          </w:tcPr>
          <w:p w14:paraId="3809EC1F" w14:textId="27FB29E3" w:rsidR="00781E55" w:rsidRPr="005E334C" w:rsidRDefault="00781E55" w:rsidP="00781E55">
            <w:pPr>
              <w:jc w:val="both"/>
              <w:rPr>
                <w:rFonts w:ascii="Times New Roman" w:hAnsi="Times New Roman" w:cs="Times New Roman"/>
                <w:b/>
                <w:bCs/>
                <w:sz w:val="24"/>
                <w:szCs w:val="24"/>
                <w:lang w:val="lt-LT"/>
              </w:rPr>
            </w:pPr>
            <w:r w:rsidRPr="00781E55">
              <w:rPr>
                <w:rFonts w:ascii="Times New Roman" w:hAnsi="Times New Roman" w:cs="Times New Roman"/>
                <w:sz w:val="24"/>
                <w:szCs w:val="24"/>
                <w:lang w:val="lt-LT"/>
              </w:rPr>
              <w:t xml:space="preserve"> </w:t>
            </w:r>
            <w:r w:rsidRPr="005E334C">
              <w:rPr>
                <w:rFonts w:ascii="Times New Roman" w:hAnsi="Times New Roman" w:cs="Times New Roman"/>
                <w:b/>
                <w:bCs/>
                <w:sz w:val="24"/>
                <w:szCs w:val="24"/>
                <w:lang w:val="lt-LT"/>
              </w:rPr>
              <w:t>Muitinės laboratorijos paskirtis:</w:t>
            </w:r>
          </w:p>
          <w:p w14:paraId="353C808F" w14:textId="279C9B82" w:rsidR="00781E55" w:rsidRDefault="005E334C" w:rsidP="00781E55">
            <w:pPr>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781E55" w:rsidRPr="00781E55">
              <w:rPr>
                <w:rFonts w:ascii="Times New Roman" w:hAnsi="Times New Roman" w:cs="Times New Roman"/>
                <w:sz w:val="24"/>
                <w:szCs w:val="24"/>
                <w:lang w:val="lt-LT"/>
              </w:rPr>
              <w:t>atlikti prekių pavyzdžių (mėginių) tyrimus ir teikti tyrimo išvadas muitinės įstaigoms, kitoms valstybės ir savivaldybių institucijoms bei įstaigoms dėl prekių klasifikavimo pagal Kombinuotąją nomenklatūrą, Europos Sąjungos integruotą tarifą (TARIC), Žemės ūkio produktų, už kuriuos skiriamos eksporto grąžinamosios išmokos, nomenklatūrą ir kitas muitinės naudojamas nomenklatūras;</w:t>
            </w:r>
          </w:p>
          <w:p w14:paraId="6D91A58A" w14:textId="0118B862" w:rsidR="00781E55" w:rsidRPr="00781E55" w:rsidRDefault="005E334C" w:rsidP="00781E55">
            <w:pPr>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781E55" w:rsidRPr="00781E55">
              <w:rPr>
                <w:rFonts w:ascii="Times New Roman" w:hAnsi="Times New Roman" w:cs="Times New Roman"/>
                <w:sz w:val="24"/>
                <w:szCs w:val="24"/>
                <w:lang w:val="lt-LT"/>
              </w:rPr>
              <w:t xml:space="preserve">identifikuoti narkotines, psichotropines, nuodingas, pavojingas medžiagas ir kitus draudžiamus arba ribojamus įvežti į Lietuvos Respubliką ir išvežti iš jos daiktus. </w:t>
            </w:r>
          </w:p>
          <w:p w14:paraId="0788A2EF" w14:textId="10216204" w:rsidR="00781E55" w:rsidRPr="00781E55" w:rsidRDefault="00781E55" w:rsidP="00781E55">
            <w:pPr>
              <w:jc w:val="both"/>
              <w:rPr>
                <w:rFonts w:ascii="Times New Roman" w:hAnsi="Times New Roman" w:cs="Times New Roman"/>
                <w:sz w:val="24"/>
                <w:szCs w:val="24"/>
                <w:lang w:val="lt-LT"/>
              </w:rPr>
            </w:pPr>
            <w:r w:rsidRPr="005E334C">
              <w:rPr>
                <w:rFonts w:ascii="Times New Roman" w:hAnsi="Times New Roman" w:cs="Times New Roman"/>
                <w:b/>
                <w:bCs/>
                <w:sz w:val="24"/>
                <w:szCs w:val="24"/>
                <w:lang w:val="lt-LT"/>
              </w:rPr>
              <w:t>Muitinės laboratorijos funkcijos</w:t>
            </w:r>
            <w:r w:rsidRPr="00781E55">
              <w:rPr>
                <w:rFonts w:ascii="Times New Roman" w:hAnsi="Times New Roman" w:cs="Times New Roman"/>
                <w:sz w:val="24"/>
                <w:szCs w:val="24"/>
                <w:lang w:val="lt-LT"/>
              </w:rPr>
              <w:t>:</w:t>
            </w:r>
          </w:p>
          <w:p w14:paraId="1FDF71C9" w14:textId="024F7155" w:rsidR="00781E55" w:rsidRPr="00781E55" w:rsidRDefault="005E334C" w:rsidP="00781E55">
            <w:pPr>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781E55" w:rsidRPr="00781E55">
              <w:rPr>
                <w:rFonts w:ascii="Times New Roman" w:hAnsi="Times New Roman" w:cs="Times New Roman"/>
                <w:sz w:val="24"/>
                <w:szCs w:val="24"/>
                <w:lang w:val="lt-LT"/>
              </w:rPr>
              <w:t>tiria prekių pavyzdžius (mėginius), nustato prekių klasifikavimą pagal muitinės naudojamas nomenklatūras ir teisės aktų nustatyta tvarka teikia tyrimo dokumentus;</w:t>
            </w:r>
          </w:p>
          <w:p w14:paraId="5A1CE005" w14:textId="69753BEA" w:rsidR="00781E55" w:rsidRPr="00781E55" w:rsidRDefault="005E334C" w:rsidP="00781E55">
            <w:pPr>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781E55" w:rsidRPr="00781E55">
              <w:rPr>
                <w:rFonts w:ascii="Times New Roman" w:hAnsi="Times New Roman" w:cs="Times New Roman"/>
                <w:sz w:val="24"/>
                <w:szCs w:val="24"/>
                <w:lang w:val="lt-LT"/>
              </w:rPr>
              <w:t>dalyvauja vykdant importuojamų ir eksportuojamų prekių, kurioms taikomos Europos Sąjungos bendrosios žemės ūkio ir prekybos politikos priemonės, muitinės priežiūrą;</w:t>
            </w:r>
          </w:p>
          <w:p w14:paraId="20CAFBE8" w14:textId="0D0965FB" w:rsidR="00781E55" w:rsidRPr="00781E55" w:rsidRDefault="005E334C" w:rsidP="00781E55">
            <w:pPr>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781E55" w:rsidRPr="00781E55">
              <w:rPr>
                <w:rFonts w:ascii="Times New Roman" w:hAnsi="Times New Roman" w:cs="Times New Roman"/>
                <w:sz w:val="24"/>
                <w:szCs w:val="24"/>
                <w:lang w:val="lt-LT"/>
              </w:rPr>
              <w:t>teikia rekomendacijas dėl prekių tarifinio klasifikavimo juridiniams ir fiziniams asmenims;</w:t>
            </w:r>
          </w:p>
          <w:p w14:paraId="262EAFD3" w14:textId="4B1CEB0B" w:rsidR="00781E55" w:rsidRPr="00781E55" w:rsidRDefault="005E334C" w:rsidP="00781E55">
            <w:pPr>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781E55" w:rsidRPr="00781E55">
              <w:rPr>
                <w:rFonts w:ascii="Times New Roman" w:hAnsi="Times New Roman" w:cs="Times New Roman"/>
                <w:sz w:val="24"/>
                <w:szCs w:val="24"/>
                <w:lang w:val="lt-LT"/>
              </w:rPr>
              <w:t>nustato, ar prekės yra akcizų objektai, kaip tai numato Lietuvos Respublikos akcizų įstatymas;</w:t>
            </w:r>
          </w:p>
          <w:p w14:paraId="681C027F" w14:textId="485796D3" w:rsidR="00781E55" w:rsidRPr="00781E55" w:rsidRDefault="005E334C" w:rsidP="00781E55">
            <w:pPr>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781E55" w:rsidRPr="00781E55">
              <w:rPr>
                <w:rFonts w:ascii="Times New Roman" w:hAnsi="Times New Roman" w:cs="Times New Roman"/>
                <w:sz w:val="24"/>
                <w:szCs w:val="24"/>
                <w:lang w:val="lt-LT"/>
              </w:rPr>
              <w:t>diegia standartinius, rengia ir diegia nestandartinius tyrimo metodus, įsigyja reikiamą įrangą;</w:t>
            </w:r>
          </w:p>
          <w:p w14:paraId="1598C1F8" w14:textId="6F6783B2" w:rsidR="00781E55" w:rsidRPr="00781E55" w:rsidRDefault="005E334C" w:rsidP="00781E55">
            <w:pPr>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781E55" w:rsidRPr="00781E55">
              <w:rPr>
                <w:rFonts w:ascii="Times New Roman" w:hAnsi="Times New Roman" w:cs="Times New Roman"/>
                <w:sz w:val="24"/>
                <w:szCs w:val="24"/>
                <w:lang w:val="lt-LT"/>
              </w:rPr>
              <w:t>teikia metodinę pagalbą organizuojant prekių pavyzdžių (mėginių) ėmimą muitinės įstaigose;</w:t>
            </w:r>
          </w:p>
          <w:p w14:paraId="2055F5ED" w14:textId="2397320D" w:rsidR="00781E55" w:rsidRPr="00781E55" w:rsidRDefault="005E334C" w:rsidP="00781E55">
            <w:pPr>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781E55" w:rsidRPr="00781E55">
              <w:rPr>
                <w:rFonts w:ascii="Times New Roman" w:hAnsi="Times New Roman" w:cs="Times New Roman"/>
                <w:sz w:val="24"/>
                <w:szCs w:val="24"/>
                <w:lang w:val="lt-LT"/>
              </w:rPr>
              <w:t>teikia siūlymus nustatant reikalavimus muitinės įstaigose naudojamiems kontrolės įrankiams ir įrankiams, skirtiems prekių pavyzdžių (mėginių) ėmimui, teikia metodinę pagalbą dėl jų naudojimo;</w:t>
            </w:r>
          </w:p>
          <w:p w14:paraId="1CC84CBB" w14:textId="25803C02" w:rsidR="00781E55" w:rsidRPr="00781E55" w:rsidRDefault="005E334C" w:rsidP="00781E55">
            <w:pPr>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781E55" w:rsidRPr="00781E55">
              <w:rPr>
                <w:rFonts w:ascii="Times New Roman" w:hAnsi="Times New Roman" w:cs="Times New Roman"/>
                <w:sz w:val="24"/>
                <w:szCs w:val="24"/>
                <w:lang w:val="lt-LT"/>
              </w:rPr>
              <w:t>renka, kaupia, sistemina ir analizuoja informaciją, susijusią su prekių tarifiniu klasifikavimu;</w:t>
            </w:r>
          </w:p>
          <w:p w14:paraId="4B346E49" w14:textId="1E1F7C99" w:rsidR="00781E55" w:rsidRPr="00781E55" w:rsidRDefault="005E334C" w:rsidP="00781E55">
            <w:pPr>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781E55" w:rsidRPr="00781E55">
              <w:rPr>
                <w:rFonts w:ascii="Times New Roman" w:hAnsi="Times New Roman" w:cs="Times New Roman"/>
                <w:sz w:val="24"/>
                <w:szCs w:val="24"/>
                <w:lang w:val="lt-LT"/>
              </w:rPr>
              <w:t>analizuoja prekių tarifinio klasifikavimo klaidas, teikia informaciją ir siūlymus Muitinės departamentui ir centriniam rizikos valdymo padaliniui dėl šių klaidų prevencijos;</w:t>
            </w:r>
          </w:p>
          <w:p w14:paraId="3577C3E2" w14:textId="2AC54E6F" w:rsidR="00781E55" w:rsidRPr="00781E55" w:rsidRDefault="005E334C" w:rsidP="00781E55">
            <w:pPr>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781E55" w:rsidRPr="00781E55">
              <w:rPr>
                <w:rFonts w:ascii="Times New Roman" w:hAnsi="Times New Roman" w:cs="Times New Roman"/>
                <w:sz w:val="24"/>
                <w:szCs w:val="24"/>
                <w:lang w:val="lt-LT"/>
              </w:rPr>
              <w:t>dalyvauja Europos Sąjungos finansinės paramos projektuose;</w:t>
            </w:r>
          </w:p>
          <w:p w14:paraId="4EA27504" w14:textId="151551F8" w:rsidR="00781E55" w:rsidRPr="00781E55" w:rsidRDefault="005E334C" w:rsidP="00781E55">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w:t>
            </w:r>
            <w:r w:rsidR="00781E55" w:rsidRPr="00781E55">
              <w:rPr>
                <w:rFonts w:ascii="Times New Roman" w:hAnsi="Times New Roman" w:cs="Times New Roman"/>
                <w:sz w:val="24"/>
                <w:szCs w:val="24"/>
                <w:lang w:val="lt-LT"/>
              </w:rPr>
              <w:t>kaupia, sistemina ir analizuoja teisinę ir technologinę dokumentaciją bei informaciją, reikalingą Muitinės laboratorijos darbui;</w:t>
            </w:r>
          </w:p>
          <w:p w14:paraId="496FF1F8" w14:textId="440DFABE" w:rsidR="00781E55" w:rsidRPr="00781E55" w:rsidRDefault="005E334C" w:rsidP="00781E55">
            <w:pPr>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781E55" w:rsidRPr="00781E55">
              <w:rPr>
                <w:rFonts w:ascii="Times New Roman" w:hAnsi="Times New Roman" w:cs="Times New Roman"/>
                <w:sz w:val="24"/>
                <w:szCs w:val="24"/>
                <w:lang w:val="lt-LT"/>
              </w:rPr>
              <w:t>teisės aktų nustatyta tvarka saugo ištirtus prekių pavyzdžius (mėginius) bei jų tyrimo dokumentus;</w:t>
            </w:r>
          </w:p>
          <w:p w14:paraId="66A296ED" w14:textId="21520C8D" w:rsidR="00781E55" w:rsidRPr="00781E55" w:rsidRDefault="005E334C" w:rsidP="00781E55">
            <w:pPr>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781E55" w:rsidRPr="00781E55">
              <w:rPr>
                <w:rFonts w:ascii="Times New Roman" w:hAnsi="Times New Roman" w:cs="Times New Roman"/>
                <w:sz w:val="24"/>
                <w:szCs w:val="24"/>
                <w:lang w:val="lt-LT"/>
              </w:rPr>
              <w:t>pagal kompetenciją dalyvauja Europos Komisijos komitetų bei kitų prie Europos Sąjungos institucijų sudaromų darbo grupių ir komitetų, kuriuose nagrinėjami muitinės įgyvendinamų Europos Sąjungos teisės aktų projektai ir su šių teisės aktų įgyvendinimu susiję klausimai, veikloje, tarpžinybinėse ir tarptautinėse komisijose, pasitarimuose ir konferencijose;</w:t>
            </w:r>
          </w:p>
          <w:p w14:paraId="0684E827" w14:textId="0257DDE0" w:rsidR="00781E55" w:rsidRPr="00781E55" w:rsidRDefault="005E334C" w:rsidP="00781E55">
            <w:pPr>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781E55" w:rsidRPr="00781E55">
              <w:rPr>
                <w:rFonts w:ascii="Times New Roman" w:hAnsi="Times New Roman" w:cs="Times New Roman"/>
                <w:sz w:val="24"/>
                <w:szCs w:val="24"/>
                <w:lang w:val="lt-LT"/>
              </w:rPr>
              <w:t>pagal kompetenciją rengia ir derina teisės aktų projektus, teikia siūlymus dėl jų tobulinimo;</w:t>
            </w:r>
          </w:p>
          <w:p w14:paraId="6EE3F08B" w14:textId="6DF4181F" w:rsidR="00E745FF" w:rsidRDefault="005E334C" w:rsidP="00781E55">
            <w:pPr>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781E55" w:rsidRPr="00781E55">
              <w:rPr>
                <w:rFonts w:ascii="Times New Roman" w:hAnsi="Times New Roman" w:cs="Times New Roman"/>
                <w:sz w:val="24"/>
                <w:szCs w:val="24"/>
                <w:lang w:val="lt-LT"/>
              </w:rPr>
              <w:t>bendradarbiauja su kitomis Lietuvos Respublikos ir užsienio šalių analogiškomis įstaigomis.</w:t>
            </w:r>
          </w:p>
        </w:tc>
      </w:tr>
    </w:tbl>
    <w:p w14:paraId="74D2BB83" w14:textId="77777777" w:rsidR="00CF2ABA" w:rsidRDefault="00CF2ABA">
      <w:pPr>
        <w:rPr>
          <w:rFonts w:ascii="Times New Roman" w:hAnsi="Times New Roman" w:cs="Times New Roman"/>
          <w:sz w:val="24"/>
          <w:szCs w:val="24"/>
          <w:lang w:val="lt-LT"/>
        </w:rPr>
      </w:pPr>
    </w:p>
    <w:p w14:paraId="1FCF95D2" w14:textId="5B765AB0" w:rsidR="0069734F" w:rsidRPr="00670323" w:rsidRDefault="00A656B8" w:rsidP="00A656B8">
      <w:pPr>
        <w:pStyle w:val="Sraopastraipa"/>
        <w:ind w:left="1080"/>
        <w:rPr>
          <w:rFonts w:ascii="Times New Roman" w:hAnsi="Times New Roman" w:cs="Times New Roman"/>
          <w:sz w:val="24"/>
          <w:szCs w:val="24"/>
          <w:lang w:val="lt-LT"/>
        </w:rPr>
      </w:pPr>
      <w:r>
        <w:rPr>
          <w:rFonts w:ascii="Times New Roman" w:eastAsia="Times New Roman" w:hAnsi="Times New Roman" w:cs="Times New Roman"/>
          <w:spacing w:val="2"/>
          <w:sz w:val="24"/>
          <w:szCs w:val="24"/>
          <w:lang w:val="lt-LT" w:eastAsia="lt-LT"/>
        </w:rPr>
        <w:t xml:space="preserve">II. </w:t>
      </w:r>
      <w:r w:rsidR="00DB430D" w:rsidRPr="00DB430D">
        <w:rPr>
          <w:rFonts w:ascii="Times New Roman" w:eastAsia="Times New Roman" w:hAnsi="Times New Roman" w:cs="Times New Roman"/>
          <w:spacing w:val="2"/>
          <w:sz w:val="24"/>
          <w:szCs w:val="24"/>
          <w:lang w:val="lt-LT" w:eastAsia="lt-LT"/>
        </w:rPr>
        <w:t>VALSTYBĖS LŪKESČIAI IR SIEKIAMI TIKSLAI ĮSTAIGOJE</w:t>
      </w:r>
    </w:p>
    <w:tbl>
      <w:tblPr>
        <w:tblStyle w:val="Lentelstinklelis"/>
        <w:tblW w:w="0" w:type="auto"/>
        <w:tblInd w:w="360" w:type="dxa"/>
        <w:tblLook w:val="04A0" w:firstRow="1" w:lastRow="0" w:firstColumn="1" w:lastColumn="0" w:noHBand="0" w:noVBand="1"/>
      </w:tblPr>
      <w:tblGrid>
        <w:gridCol w:w="8990"/>
      </w:tblGrid>
      <w:tr w:rsidR="00670323" w:rsidRPr="00F85C6D" w14:paraId="3A18BCCD" w14:textId="77777777" w:rsidTr="00E745FF">
        <w:trPr>
          <w:trHeight w:val="1553"/>
        </w:trPr>
        <w:tc>
          <w:tcPr>
            <w:tcW w:w="8990" w:type="dxa"/>
          </w:tcPr>
          <w:p w14:paraId="1C4C6704" w14:textId="54C96FA1" w:rsidR="00670323" w:rsidRPr="00781E55" w:rsidRDefault="00781E55" w:rsidP="00781E55">
            <w:pPr>
              <w:jc w:val="both"/>
              <w:rPr>
                <w:rFonts w:ascii="Times New Roman" w:hAnsi="Times New Roman" w:cs="Times New Roman"/>
                <w:iCs/>
                <w:sz w:val="24"/>
                <w:szCs w:val="24"/>
                <w:lang w:val="lt-LT"/>
              </w:rPr>
            </w:pPr>
            <w:r w:rsidRPr="007C100D">
              <w:rPr>
                <w:rFonts w:ascii="Times New Roman" w:hAnsi="Times New Roman" w:cs="Times New Roman"/>
                <w:b/>
                <w:bCs/>
                <w:iCs/>
                <w:sz w:val="24"/>
                <w:szCs w:val="24"/>
                <w:lang w:val="lt-LT"/>
              </w:rPr>
              <w:t>Muitinės laboratorijos prioritetinė veiklos kryptis</w:t>
            </w:r>
            <w:r w:rsidRPr="00781E55">
              <w:rPr>
                <w:rFonts w:ascii="Times New Roman" w:hAnsi="Times New Roman" w:cs="Times New Roman"/>
                <w:iCs/>
                <w:sz w:val="24"/>
                <w:szCs w:val="24"/>
                <w:lang w:val="lt-LT"/>
              </w:rPr>
              <w:t xml:space="preserve"> – Bendrojo muitų tarifo, muitų ir kitų muitinės administruojamų mokesčių bei jų lengvatų, valstybės rinkliavų, muitinės įgyvendinamuose teisės aktuose nustatytų importo, eksporto ir tranzito draudimų bei apribojimų taikymo užtikrinimas, tiriant per valstybės sieną gabenamų ir kitų prekių (daiktų) mėginių sudėtį (savybes) prekių klasifikavimui pagal muitinės naudojamas nomenklatūras nustatyti.</w:t>
            </w:r>
          </w:p>
        </w:tc>
      </w:tr>
    </w:tbl>
    <w:p w14:paraId="7EA4286E" w14:textId="77777777" w:rsidR="00670323" w:rsidRDefault="00670323" w:rsidP="00670323">
      <w:pPr>
        <w:rPr>
          <w:rFonts w:ascii="Times New Roman" w:hAnsi="Times New Roman" w:cs="Times New Roman"/>
          <w:sz w:val="24"/>
          <w:szCs w:val="24"/>
          <w:lang w:val="lt-LT"/>
        </w:rPr>
      </w:pPr>
    </w:p>
    <w:p w14:paraId="60AAF86D" w14:textId="2982A928" w:rsidR="002D1A1F" w:rsidRPr="005E334C" w:rsidRDefault="00A656B8" w:rsidP="005E334C">
      <w:pPr>
        <w:pStyle w:val="Sraopastraipa"/>
        <w:ind w:left="1080"/>
        <w:rPr>
          <w:rFonts w:ascii="Times New Roman" w:hAnsi="Times New Roman" w:cs="Times New Roman"/>
          <w:sz w:val="24"/>
          <w:szCs w:val="24"/>
          <w:lang w:val="lt-LT"/>
        </w:rPr>
      </w:pPr>
      <w:r>
        <w:rPr>
          <w:rFonts w:ascii="Times New Roman" w:hAnsi="Times New Roman" w:cs="Times New Roman"/>
          <w:sz w:val="24"/>
          <w:szCs w:val="24"/>
          <w:lang w:val="lt-LT"/>
        </w:rPr>
        <w:t xml:space="preserve">III. </w:t>
      </w:r>
      <w:r w:rsidR="008F0F77">
        <w:rPr>
          <w:rFonts w:ascii="Times New Roman" w:hAnsi="Times New Roman" w:cs="Times New Roman"/>
          <w:sz w:val="24"/>
          <w:szCs w:val="24"/>
          <w:lang w:val="lt-LT"/>
        </w:rPr>
        <w:t>TIKSLAI</w:t>
      </w:r>
      <w:r w:rsidR="00DB430D" w:rsidRPr="00DB430D">
        <w:rPr>
          <w:rFonts w:ascii="Times New Roman" w:hAnsi="Times New Roman" w:cs="Times New Roman"/>
          <w:sz w:val="24"/>
          <w:szCs w:val="24"/>
          <w:lang w:val="lt-LT"/>
        </w:rPr>
        <w:t xml:space="preserve"> PAGAL VEIKLOS KRYPTIS</w:t>
      </w:r>
    </w:p>
    <w:tbl>
      <w:tblPr>
        <w:tblStyle w:val="Lentelstinklelis1"/>
        <w:tblW w:w="0" w:type="auto"/>
        <w:tblInd w:w="421" w:type="dxa"/>
        <w:tblLayout w:type="fixed"/>
        <w:tblLook w:val="04A0" w:firstRow="1" w:lastRow="0" w:firstColumn="1" w:lastColumn="0" w:noHBand="0" w:noVBand="1"/>
      </w:tblPr>
      <w:tblGrid>
        <w:gridCol w:w="2369"/>
        <w:gridCol w:w="1316"/>
        <w:gridCol w:w="1134"/>
        <w:gridCol w:w="1276"/>
        <w:gridCol w:w="1134"/>
        <w:gridCol w:w="1134"/>
        <w:gridCol w:w="1134"/>
      </w:tblGrid>
      <w:tr w:rsidR="002D1A1F" w:rsidRPr="002D1A1F" w14:paraId="0A7E736A" w14:textId="77777777" w:rsidTr="00B60EC1">
        <w:tc>
          <w:tcPr>
            <w:tcW w:w="2369" w:type="dxa"/>
          </w:tcPr>
          <w:p w14:paraId="2D7C8182" w14:textId="77777777" w:rsidR="002D1A1F" w:rsidRPr="002D1A1F" w:rsidRDefault="002D1A1F" w:rsidP="002D1A1F">
            <w:pPr>
              <w:jc w:val="both"/>
              <w:rPr>
                <w:rFonts w:eastAsia="Calibri" w:cs="Times New Roman"/>
                <w:color w:val="000000"/>
                <w:szCs w:val="24"/>
              </w:rPr>
            </w:pPr>
            <w:r w:rsidRPr="002D1A1F">
              <w:rPr>
                <w:rFonts w:eastAsia="Calibri" w:cs="Times New Roman"/>
                <w:color w:val="000000"/>
                <w:szCs w:val="24"/>
              </w:rPr>
              <w:t xml:space="preserve">Rodiklis </w:t>
            </w:r>
          </w:p>
        </w:tc>
        <w:tc>
          <w:tcPr>
            <w:tcW w:w="1316" w:type="dxa"/>
          </w:tcPr>
          <w:p w14:paraId="1C812DF2" w14:textId="77777777" w:rsidR="002D1A1F" w:rsidRPr="002D1A1F" w:rsidRDefault="002D1A1F" w:rsidP="002D1A1F">
            <w:pPr>
              <w:jc w:val="both"/>
              <w:rPr>
                <w:rFonts w:eastAsia="Calibri" w:cs="Times New Roman"/>
                <w:color w:val="000000"/>
                <w:szCs w:val="24"/>
              </w:rPr>
            </w:pPr>
            <w:r w:rsidRPr="002D1A1F">
              <w:rPr>
                <w:rFonts w:eastAsia="Calibri" w:cs="Times New Roman"/>
                <w:color w:val="000000"/>
                <w:szCs w:val="24"/>
              </w:rPr>
              <w:t>Rodiklio reikšmė</w:t>
            </w:r>
          </w:p>
        </w:tc>
        <w:tc>
          <w:tcPr>
            <w:tcW w:w="1134" w:type="dxa"/>
          </w:tcPr>
          <w:p w14:paraId="22CC6EF6" w14:textId="77777777" w:rsidR="002D1A1F" w:rsidRPr="002D1A1F" w:rsidRDefault="002D1A1F" w:rsidP="002D1A1F">
            <w:pPr>
              <w:jc w:val="both"/>
              <w:rPr>
                <w:rFonts w:eastAsia="Calibri" w:cs="Times New Roman"/>
                <w:color w:val="000000"/>
                <w:szCs w:val="24"/>
              </w:rPr>
            </w:pPr>
            <w:r w:rsidRPr="002D1A1F">
              <w:rPr>
                <w:rFonts w:eastAsia="Calibri" w:cs="Times New Roman"/>
                <w:color w:val="000000"/>
                <w:szCs w:val="24"/>
              </w:rPr>
              <w:t>Terminas</w:t>
            </w:r>
          </w:p>
        </w:tc>
        <w:tc>
          <w:tcPr>
            <w:tcW w:w="1276" w:type="dxa"/>
          </w:tcPr>
          <w:p w14:paraId="17C9A93D" w14:textId="77777777" w:rsidR="002D1A1F" w:rsidRPr="002D1A1F" w:rsidRDefault="002D1A1F" w:rsidP="002D1A1F">
            <w:pPr>
              <w:jc w:val="both"/>
              <w:rPr>
                <w:rFonts w:eastAsia="Calibri" w:cs="Times New Roman"/>
                <w:color w:val="000000"/>
                <w:szCs w:val="24"/>
              </w:rPr>
            </w:pPr>
            <w:r w:rsidRPr="002D1A1F">
              <w:rPr>
                <w:rFonts w:eastAsia="Calibri" w:cs="Times New Roman"/>
                <w:color w:val="000000"/>
                <w:szCs w:val="24"/>
              </w:rPr>
              <w:t>Terminas</w:t>
            </w:r>
          </w:p>
        </w:tc>
        <w:tc>
          <w:tcPr>
            <w:tcW w:w="1134" w:type="dxa"/>
          </w:tcPr>
          <w:p w14:paraId="2E6E42C8" w14:textId="77777777" w:rsidR="002D1A1F" w:rsidRPr="002D1A1F" w:rsidRDefault="002D1A1F" w:rsidP="002D1A1F">
            <w:pPr>
              <w:jc w:val="both"/>
              <w:rPr>
                <w:rFonts w:eastAsia="Calibri" w:cs="Times New Roman"/>
                <w:color w:val="000000"/>
                <w:szCs w:val="24"/>
              </w:rPr>
            </w:pPr>
            <w:r w:rsidRPr="002D1A1F">
              <w:rPr>
                <w:rFonts w:eastAsia="Calibri" w:cs="Times New Roman"/>
                <w:color w:val="000000"/>
                <w:szCs w:val="24"/>
              </w:rPr>
              <w:t>Terminas</w:t>
            </w:r>
          </w:p>
        </w:tc>
        <w:tc>
          <w:tcPr>
            <w:tcW w:w="1134" w:type="dxa"/>
          </w:tcPr>
          <w:p w14:paraId="5704C048" w14:textId="77777777" w:rsidR="002D1A1F" w:rsidRPr="002D1A1F" w:rsidRDefault="002D1A1F" w:rsidP="002D1A1F">
            <w:pPr>
              <w:jc w:val="both"/>
              <w:rPr>
                <w:rFonts w:eastAsia="Calibri" w:cs="Times New Roman"/>
                <w:color w:val="000000"/>
                <w:szCs w:val="24"/>
              </w:rPr>
            </w:pPr>
            <w:r w:rsidRPr="002D1A1F">
              <w:rPr>
                <w:rFonts w:eastAsia="Calibri" w:cs="Times New Roman"/>
                <w:color w:val="000000"/>
                <w:szCs w:val="24"/>
              </w:rPr>
              <w:t>Terminas</w:t>
            </w:r>
          </w:p>
        </w:tc>
        <w:tc>
          <w:tcPr>
            <w:tcW w:w="1134" w:type="dxa"/>
          </w:tcPr>
          <w:p w14:paraId="6C516AE3" w14:textId="77777777" w:rsidR="002D1A1F" w:rsidRPr="002D1A1F" w:rsidRDefault="002D1A1F" w:rsidP="002D1A1F">
            <w:pPr>
              <w:jc w:val="both"/>
              <w:rPr>
                <w:rFonts w:eastAsia="Calibri" w:cs="Times New Roman"/>
                <w:color w:val="000000"/>
                <w:szCs w:val="24"/>
              </w:rPr>
            </w:pPr>
            <w:r w:rsidRPr="002D1A1F">
              <w:rPr>
                <w:rFonts w:eastAsia="Calibri" w:cs="Times New Roman"/>
                <w:color w:val="000000"/>
                <w:szCs w:val="24"/>
              </w:rPr>
              <w:t>Terminas</w:t>
            </w:r>
          </w:p>
        </w:tc>
      </w:tr>
      <w:tr w:rsidR="002D1A1F" w:rsidRPr="002D1A1F" w14:paraId="1882F9FB" w14:textId="77777777" w:rsidTr="002D1A1F">
        <w:tc>
          <w:tcPr>
            <w:tcW w:w="9497" w:type="dxa"/>
            <w:gridSpan w:val="7"/>
          </w:tcPr>
          <w:p w14:paraId="301E612E" w14:textId="77777777" w:rsidR="002D1A1F" w:rsidRPr="002D1A1F" w:rsidRDefault="002D1A1F" w:rsidP="002D1A1F">
            <w:pPr>
              <w:jc w:val="both"/>
              <w:rPr>
                <w:rFonts w:eastAsia="Calibri" w:cs="Times New Roman"/>
                <w:b/>
                <w:bCs/>
                <w:color w:val="000000"/>
                <w:szCs w:val="24"/>
              </w:rPr>
            </w:pPr>
            <w:r w:rsidRPr="002D1A1F">
              <w:rPr>
                <w:rFonts w:eastAsia="Calibri" w:cs="Times New Roman"/>
                <w:b/>
                <w:bCs/>
                <w:szCs w:val="24"/>
              </w:rPr>
              <w:t>1. Išlaikyti Muitinės laboratorijos atitiktį standarto LST EN ISO/IEC reikalavimams</w:t>
            </w:r>
          </w:p>
        </w:tc>
      </w:tr>
      <w:tr w:rsidR="00C65F91" w:rsidRPr="002D1A1F" w14:paraId="6410166B" w14:textId="77777777" w:rsidTr="00B60EC1">
        <w:tc>
          <w:tcPr>
            <w:tcW w:w="2369" w:type="dxa"/>
            <w:vMerge w:val="restart"/>
          </w:tcPr>
          <w:p w14:paraId="73BCC49C" w14:textId="77777777" w:rsidR="00C65F91" w:rsidRPr="002D1A1F" w:rsidRDefault="00C65F91" w:rsidP="002D1A1F">
            <w:pPr>
              <w:jc w:val="both"/>
              <w:rPr>
                <w:rFonts w:eastAsia="Calibri" w:cs="Times New Roman"/>
                <w:color w:val="000000"/>
                <w:szCs w:val="24"/>
              </w:rPr>
            </w:pPr>
            <w:r w:rsidRPr="002D1A1F">
              <w:rPr>
                <w:rFonts w:eastAsia="Calibri" w:cs="Times New Roman"/>
                <w:color w:val="000000"/>
                <w:szCs w:val="24"/>
              </w:rPr>
              <w:t>Užtikrinta procesų atitiktis standarto reikalavimams</w:t>
            </w:r>
          </w:p>
        </w:tc>
        <w:tc>
          <w:tcPr>
            <w:tcW w:w="1316" w:type="dxa"/>
          </w:tcPr>
          <w:p w14:paraId="2BCF77E1" w14:textId="35D46076" w:rsidR="00C65F91" w:rsidRPr="000A5D1D" w:rsidRDefault="00C65F91" w:rsidP="002D1A1F">
            <w:pPr>
              <w:jc w:val="both"/>
              <w:rPr>
                <w:rFonts w:eastAsia="Calibri" w:cs="Times New Roman"/>
                <w:color w:val="000000"/>
                <w:szCs w:val="24"/>
              </w:rPr>
            </w:pPr>
            <w:r w:rsidRPr="000A5D1D">
              <w:rPr>
                <w:bCs/>
              </w:rPr>
              <w:t xml:space="preserve">Išlaikyta akreditacija dėl Lietuvos standarto LST EN ISO/IEC 17025:2018 atitikties </w:t>
            </w:r>
            <w:r w:rsidRPr="000A5D1D">
              <w:t>– 100 proc.</w:t>
            </w:r>
          </w:p>
        </w:tc>
        <w:tc>
          <w:tcPr>
            <w:tcW w:w="1134" w:type="dxa"/>
          </w:tcPr>
          <w:p w14:paraId="5136B918" w14:textId="77777777" w:rsidR="00C65F91" w:rsidRPr="002D1A1F" w:rsidRDefault="00C65F91" w:rsidP="002D1A1F">
            <w:pPr>
              <w:jc w:val="both"/>
              <w:rPr>
                <w:rFonts w:eastAsia="Calibri" w:cs="Times New Roman"/>
                <w:color w:val="000000"/>
                <w:szCs w:val="24"/>
              </w:rPr>
            </w:pPr>
            <w:r w:rsidRPr="002D1A1F">
              <w:rPr>
                <w:rFonts w:eastAsia="Calibri" w:cs="Times New Roman"/>
                <w:color w:val="000000"/>
                <w:szCs w:val="24"/>
              </w:rPr>
              <w:t xml:space="preserve">2024 IV </w:t>
            </w:r>
            <w:proofErr w:type="spellStart"/>
            <w:r w:rsidRPr="002D1A1F">
              <w:rPr>
                <w:rFonts w:eastAsia="Calibri" w:cs="Times New Roman"/>
                <w:color w:val="000000"/>
                <w:szCs w:val="24"/>
              </w:rPr>
              <w:t>ketv</w:t>
            </w:r>
            <w:proofErr w:type="spellEnd"/>
            <w:r w:rsidRPr="002D1A1F">
              <w:rPr>
                <w:rFonts w:eastAsia="Calibri" w:cs="Times New Roman"/>
                <w:color w:val="000000"/>
                <w:szCs w:val="24"/>
              </w:rPr>
              <w:t>.</w:t>
            </w:r>
          </w:p>
        </w:tc>
        <w:tc>
          <w:tcPr>
            <w:tcW w:w="1276" w:type="dxa"/>
          </w:tcPr>
          <w:p w14:paraId="3B67BD10" w14:textId="77777777" w:rsidR="00C65F91" w:rsidRPr="002D1A1F" w:rsidRDefault="00C65F91" w:rsidP="002D1A1F">
            <w:pPr>
              <w:jc w:val="both"/>
              <w:rPr>
                <w:rFonts w:eastAsia="Calibri" w:cs="Times New Roman"/>
                <w:color w:val="000000"/>
                <w:szCs w:val="24"/>
              </w:rPr>
            </w:pPr>
            <w:r w:rsidRPr="002D1A1F">
              <w:rPr>
                <w:rFonts w:eastAsia="Calibri" w:cs="Times New Roman"/>
                <w:color w:val="000000"/>
                <w:szCs w:val="24"/>
              </w:rPr>
              <w:t xml:space="preserve">2025 IV </w:t>
            </w:r>
            <w:proofErr w:type="spellStart"/>
            <w:r w:rsidRPr="002D1A1F">
              <w:rPr>
                <w:rFonts w:eastAsia="Calibri" w:cs="Times New Roman"/>
                <w:color w:val="000000"/>
                <w:szCs w:val="24"/>
              </w:rPr>
              <w:t>ketv</w:t>
            </w:r>
            <w:proofErr w:type="spellEnd"/>
            <w:r w:rsidRPr="002D1A1F">
              <w:rPr>
                <w:rFonts w:eastAsia="Calibri" w:cs="Times New Roman"/>
                <w:color w:val="000000"/>
                <w:szCs w:val="24"/>
              </w:rPr>
              <w:t>.</w:t>
            </w:r>
          </w:p>
        </w:tc>
        <w:tc>
          <w:tcPr>
            <w:tcW w:w="1134" w:type="dxa"/>
          </w:tcPr>
          <w:p w14:paraId="15CCE582" w14:textId="77777777" w:rsidR="00C65F91" w:rsidRPr="002D1A1F" w:rsidRDefault="00C65F91" w:rsidP="002D1A1F">
            <w:pPr>
              <w:jc w:val="both"/>
              <w:rPr>
                <w:rFonts w:eastAsia="Calibri" w:cs="Times New Roman"/>
                <w:color w:val="000000"/>
                <w:szCs w:val="24"/>
              </w:rPr>
            </w:pPr>
            <w:r w:rsidRPr="002D1A1F">
              <w:rPr>
                <w:rFonts w:eastAsia="Calibri" w:cs="Times New Roman"/>
                <w:color w:val="000000"/>
                <w:szCs w:val="24"/>
              </w:rPr>
              <w:t xml:space="preserve">2026 IV </w:t>
            </w:r>
            <w:proofErr w:type="spellStart"/>
            <w:r w:rsidRPr="002D1A1F">
              <w:rPr>
                <w:rFonts w:eastAsia="Calibri" w:cs="Times New Roman"/>
                <w:color w:val="000000"/>
                <w:szCs w:val="24"/>
              </w:rPr>
              <w:t>ketv</w:t>
            </w:r>
            <w:proofErr w:type="spellEnd"/>
            <w:r w:rsidRPr="002D1A1F">
              <w:rPr>
                <w:rFonts w:eastAsia="Calibri" w:cs="Times New Roman"/>
                <w:color w:val="000000"/>
                <w:szCs w:val="24"/>
              </w:rPr>
              <w:t>.</w:t>
            </w:r>
          </w:p>
        </w:tc>
        <w:tc>
          <w:tcPr>
            <w:tcW w:w="1134" w:type="dxa"/>
          </w:tcPr>
          <w:p w14:paraId="708D65C5" w14:textId="77777777" w:rsidR="00C65F91" w:rsidRPr="002D1A1F" w:rsidRDefault="00C65F91" w:rsidP="002D1A1F">
            <w:pPr>
              <w:jc w:val="both"/>
              <w:rPr>
                <w:rFonts w:eastAsia="Calibri" w:cs="Times New Roman"/>
                <w:color w:val="000000"/>
                <w:szCs w:val="24"/>
              </w:rPr>
            </w:pPr>
            <w:r w:rsidRPr="002D1A1F">
              <w:rPr>
                <w:rFonts w:eastAsia="Calibri" w:cs="Times New Roman"/>
                <w:color w:val="000000"/>
                <w:szCs w:val="24"/>
              </w:rPr>
              <w:t xml:space="preserve">2027 IV </w:t>
            </w:r>
            <w:proofErr w:type="spellStart"/>
            <w:r w:rsidRPr="002D1A1F">
              <w:rPr>
                <w:rFonts w:eastAsia="Calibri" w:cs="Times New Roman"/>
                <w:color w:val="000000"/>
                <w:szCs w:val="24"/>
              </w:rPr>
              <w:t>ketv</w:t>
            </w:r>
            <w:proofErr w:type="spellEnd"/>
            <w:r w:rsidRPr="002D1A1F">
              <w:rPr>
                <w:rFonts w:eastAsia="Calibri" w:cs="Times New Roman"/>
                <w:color w:val="000000"/>
                <w:szCs w:val="24"/>
              </w:rPr>
              <w:t>.</w:t>
            </w:r>
          </w:p>
        </w:tc>
        <w:tc>
          <w:tcPr>
            <w:tcW w:w="1134" w:type="dxa"/>
          </w:tcPr>
          <w:p w14:paraId="7B862395" w14:textId="77777777" w:rsidR="00C65F91" w:rsidRPr="002D1A1F" w:rsidRDefault="00C65F91" w:rsidP="002D1A1F">
            <w:pPr>
              <w:jc w:val="both"/>
              <w:rPr>
                <w:rFonts w:eastAsia="Calibri" w:cs="Times New Roman"/>
                <w:color w:val="000000"/>
                <w:szCs w:val="24"/>
              </w:rPr>
            </w:pPr>
            <w:r w:rsidRPr="002D1A1F">
              <w:rPr>
                <w:rFonts w:eastAsia="Calibri" w:cs="Times New Roman"/>
                <w:color w:val="000000"/>
                <w:szCs w:val="24"/>
              </w:rPr>
              <w:t xml:space="preserve">2028 IV </w:t>
            </w:r>
            <w:proofErr w:type="spellStart"/>
            <w:r w:rsidRPr="002D1A1F">
              <w:rPr>
                <w:rFonts w:eastAsia="Calibri" w:cs="Times New Roman"/>
                <w:color w:val="000000"/>
                <w:szCs w:val="24"/>
              </w:rPr>
              <w:t>ketv</w:t>
            </w:r>
            <w:proofErr w:type="spellEnd"/>
            <w:r w:rsidRPr="002D1A1F">
              <w:rPr>
                <w:rFonts w:eastAsia="Calibri" w:cs="Times New Roman"/>
                <w:color w:val="000000"/>
                <w:szCs w:val="24"/>
              </w:rPr>
              <w:t>.</w:t>
            </w:r>
          </w:p>
        </w:tc>
      </w:tr>
      <w:tr w:rsidR="00C65F91" w:rsidRPr="00C65F91" w14:paraId="32261E24" w14:textId="77777777" w:rsidTr="00B60EC1">
        <w:tc>
          <w:tcPr>
            <w:tcW w:w="2369" w:type="dxa"/>
            <w:vMerge/>
          </w:tcPr>
          <w:p w14:paraId="16C2435A" w14:textId="77777777" w:rsidR="00C65F91" w:rsidRPr="002D1A1F" w:rsidRDefault="00C65F91" w:rsidP="002D1A1F">
            <w:pPr>
              <w:jc w:val="both"/>
              <w:rPr>
                <w:rFonts w:eastAsia="Calibri" w:cs="Times New Roman"/>
                <w:color w:val="000000"/>
                <w:szCs w:val="24"/>
              </w:rPr>
            </w:pPr>
          </w:p>
        </w:tc>
        <w:tc>
          <w:tcPr>
            <w:tcW w:w="1316" w:type="dxa"/>
          </w:tcPr>
          <w:p w14:paraId="359E97F5" w14:textId="1411CE1F" w:rsidR="00C65F91" w:rsidRPr="000A5D1D" w:rsidRDefault="00C65F91" w:rsidP="002D1A1F">
            <w:pPr>
              <w:jc w:val="both"/>
              <w:rPr>
                <w:bCs/>
              </w:rPr>
            </w:pPr>
            <w:r w:rsidRPr="000A5D1D">
              <w:t>Išlaikyta akredituotų tyrimo metodų akreditacija – ne mažiau kaip 17 vnt.</w:t>
            </w:r>
          </w:p>
        </w:tc>
        <w:tc>
          <w:tcPr>
            <w:tcW w:w="1134" w:type="dxa"/>
          </w:tcPr>
          <w:p w14:paraId="203857B1" w14:textId="3DB1762D" w:rsidR="00C65F91" w:rsidRPr="002D1A1F" w:rsidRDefault="00C65F91" w:rsidP="002D1A1F">
            <w:pPr>
              <w:jc w:val="both"/>
              <w:rPr>
                <w:rFonts w:eastAsia="Calibri" w:cs="Times New Roman"/>
                <w:color w:val="000000"/>
                <w:szCs w:val="24"/>
              </w:rPr>
            </w:pPr>
            <w:r w:rsidRPr="002D1A1F">
              <w:rPr>
                <w:rFonts w:eastAsia="Calibri" w:cs="Times New Roman"/>
                <w:color w:val="000000"/>
                <w:szCs w:val="24"/>
              </w:rPr>
              <w:t xml:space="preserve">2024 IV </w:t>
            </w:r>
            <w:proofErr w:type="spellStart"/>
            <w:r w:rsidRPr="002D1A1F">
              <w:rPr>
                <w:rFonts w:eastAsia="Calibri" w:cs="Times New Roman"/>
                <w:color w:val="000000"/>
                <w:szCs w:val="24"/>
              </w:rPr>
              <w:t>ketv</w:t>
            </w:r>
            <w:proofErr w:type="spellEnd"/>
            <w:r w:rsidRPr="002D1A1F">
              <w:rPr>
                <w:rFonts w:eastAsia="Calibri" w:cs="Times New Roman"/>
                <w:color w:val="000000"/>
                <w:szCs w:val="24"/>
              </w:rPr>
              <w:t>.</w:t>
            </w:r>
          </w:p>
        </w:tc>
        <w:tc>
          <w:tcPr>
            <w:tcW w:w="1276" w:type="dxa"/>
          </w:tcPr>
          <w:p w14:paraId="2C88D1EE" w14:textId="0CD6FE52" w:rsidR="00C65F91" w:rsidRPr="002D1A1F" w:rsidRDefault="00C65F91" w:rsidP="002D1A1F">
            <w:pPr>
              <w:jc w:val="both"/>
              <w:rPr>
                <w:rFonts w:eastAsia="Calibri" w:cs="Times New Roman"/>
                <w:color w:val="000000"/>
                <w:szCs w:val="24"/>
              </w:rPr>
            </w:pPr>
            <w:r w:rsidRPr="002D1A1F">
              <w:rPr>
                <w:rFonts w:eastAsia="Calibri" w:cs="Times New Roman"/>
                <w:color w:val="000000"/>
                <w:szCs w:val="24"/>
              </w:rPr>
              <w:t xml:space="preserve">2025 IV </w:t>
            </w:r>
            <w:proofErr w:type="spellStart"/>
            <w:r w:rsidRPr="002D1A1F">
              <w:rPr>
                <w:rFonts w:eastAsia="Calibri" w:cs="Times New Roman"/>
                <w:color w:val="000000"/>
                <w:szCs w:val="24"/>
              </w:rPr>
              <w:t>ketv</w:t>
            </w:r>
            <w:proofErr w:type="spellEnd"/>
            <w:r w:rsidRPr="002D1A1F">
              <w:rPr>
                <w:rFonts w:eastAsia="Calibri" w:cs="Times New Roman"/>
                <w:color w:val="000000"/>
                <w:szCs w:val="24"/>
              </w:rPr>
              <w:t>.</w:t>
            </w:r>
          </w:p>
        </w:tc>
        <w:tc>
          <w:tcPr>
            <w:tcW w:w="1134" w:type="dxa"/>
          </w:tcPr>
          <w:p w14:paraId="17EA6CE2" w14:textId="019A2EA8" w:rsidR="00C65F91" w:rsidRPr="002D1A1F" w:rsidRDefault="00C65F91" w:rsidP="002D1A1F">
            <w:pPr>
              <w:jc w:val="both"/>
              <w:rPr>
                <w:rFonts w:eastAsia="Calibri" w:cs="Times New Roman"/>
                <w:color w:val="000000"/>
                <w:szCs w:val="24"/>
              </w:rPr>
            </w:pPr>
            <w:r w:rsidRPr="002D1A1F">
              <w:rPr>
                <w:rFonts w:eastAsia="Calibri" w:cs="Times New Roman"/>
                <w:color w:val="000000"/>
                <w:szCs w:val="24"/>
              </w:rPr>
              <w:t xml:space="preserve">2026 IV </w:t>
            </w:r>
            <w:proofErr w:type="spellStart"/>
            <w:r w:rsidRPr="002D1A1F">
              <w:rPr>
                <w:rFonts w:eastAsia="Calibri" w:cs="Times New Roman"/>
                <w:color w:val="000000"/>
                <w:szCs w:val="24"/>
              </w:rPr>
              <w:t>ketv</w:t>
            </w:r>
            <w:proofErr w:type="spellEnd"/>
            <w:r w:rsidRPr="002D1A1F">
              <w:rPr>
                <w:rFonts w:eastAsia="Calibri" w:cs="Times New Roman"/>
                <w:color w:val="000000"/>
                <w:szCs w:val="24"/>
              </w:rPr>
              <w:t>.</w:t>
            </w:r>
          </w:p>
        </w:tc>
        <w:tc>
          <w:tcPr>
            <w:tcW w:w="1134" w:type="dxa"/>
          </w:tcPr>
          <w:p w14:paraId="175FD047" w14:textId="4E1811B4" w:rsidR="00C65F91" w:rsidRPr="002D1A1F" w:rsidRDefault="00C65F91" w:rsidP="002D1A1F">
            <w:pPr>
              <w:jc w:val="both"/>
              <w:rPr>
                <w:rFonts w:eastAsia="Calibri" w:cs="Times New Roman"/>
                <w:color w:val="000000"/>
                <w:szCs w:val="24"/>
              </w:rPr>
            </w:pPr>
            <w:r w:rsidRPr="002D1A1F">
              <w:rPr>
                <w:rFonts w:eastAsia="Calibri" w:cs="Times New Roman"/>
                <w:color w:val="000000"/>
                <w:szCs w:val="24"/>
              </w:rPr>
              <w:t xml:space="preserve">2027 IV </w:t>
            </w:r>
            <w:proofErr w:type="spellStart"/>
            <w:r w:rsidRPr="002D1A1F">
              <w:rPr>
                <w:rFonts w:eastAsia="Calibri" w:cs="Times New Roman"/>
                <w:color w:val="000000"/>
                <w:szCs w:val="24"/>
              </w:rPr>
              <w:t>ketv</w:t>
            </w:r>
            <w:proofErr w:type="spellEnd"/>
            <w:r w:rsidRPr="002D1A1F">
              <w:rPr>
                <w:rFonts w:eastAsia="Calibri" w:cs="Times New Roman"/>
                <w:color w:val="000000"/>
                <w:szCs w:val="24"/>
              </w:rPr>
              <w:t>.</w:t>
            </w:r>
          </w:p>
        </w:tc>
        <w:tc>
          <w:tcPr>
            <w:tcW w:w="1134" w:type="dxa"/>
          </w:tcPr>
          <w:p w14:paraId="51C5F3C8" w14:textId="5D6038AC" w:rsidR="00C65F91" w:rsidRPr="002D1A1F" w:rsidRDefault="00C65F91" w:rsidP="002D1A1F">
            <w:pPr>
              <w:jc w:val="both"/>
              <w:rPr>
                <w:rFonts w:eastAsia="Calibri" w:cs="Times New Roman"/>
                <w:color w:val="000000"/>
                <w:szCs w:val="24"/>
              </w:rPr>
            </w:pPr>
            <w:r w:rsidRPr="002D1A1F">
              <w:rPr>
                <w:rFonts w:eastAsia="Calibri" w:cs="Times New Roman"/>
                <w:color w:val="000000"/>
                <w:szCs w:val="24"/>
              </w:rPr>
              <w:t xml:space="preserve">2028 IV </w:t>
            </w:r>
            <w:proofErr w:type="spellStart"/>
            <w:r w:rsidRPr="002D1A1F">
              <w:rPr>
                <w:rFonts w:eastAsia="Calibri" w:cs="Times New Roman"/>
                <w:color w:val="000000"/>
                <w:szCs w:val="24"/>
              </w:rPr>
              <w:t>ketv</w:t>
            </w:r>
            <w:proofErr w:type="spellEnd"/>
            <w:r w:rsidRPr="002D1A1F">
              <w:rPr>
                <w:rFonts w:eastAsia="Calibri" w:cs="Times New Roman"/>
                <w:color w:val="000000"/>
                <w:szCs w:val="24"/>
              </w:rPr>
              <w:t>.</w:t>
            </w:r>
          </w:p>
        </w:tc>
      </w:tr>
      <w:tr w:rsidR="00C65F91" w:rsidRPr="00C65F91" w14:paraId="7BACCBEB" w14:textId="77777777" w:rsidTr="00B60EC1">
        <w:tc>
          <w:tcPr>
            <w:tcW w:w="2369" w:type="dxa"/>
            <w:vMerge/>
          </w:tcPr>
          <w:p w14:paraId="3845F085" w14:textId="77777777" w:rsidR="00C65F91" w:rsidRPr="002D1A1F" w:rsidRDefault="00C65F91" w:rsidP="002D1A1F">
            <w:pPr>
              <w:jc w:val="both"/>
              <w:rPr>
                <w:rFonts w:eastAsia="Calibri" w:cs="Times New Roman"/>
                <w:color w:val="000000"/>
                <w:szCs w:val="24"/>
              </w:rPr>
            </w:pPr>
          </w:p>
        </w:tc>
        <w:tc>
          <w:tcPr>
            <w:tcW w:w="1316" w:type="dxa"/>
          </w:tcPr>
          <w:p w14:paraId="6E28F096" w14:textId="770AFC51" w:rsidR="00C65F91" w:rsidRPr="000A5D1D" w:rsidRDefault="00C65F91" w:rsidP="002D1A1F">
            <w:pPr>
              <w:jc w:val="both"/>
            </w:pPr>
            <w:r w:rsidRPr="000A5D1D">
              <w:t xml:space="preserve">Išlaikyta lanksčios </w:t>
            </w:r>
            <w:r w:rsidRPr="000A5D1D">
              <w:lastRenderedPageBreak/>
              <w:t>srities akreditacija – 100 proc.</w:t>
            </w:r>
          </w:p>
        </w:tc>
        <w:tc>
          <w:tcPr>
            <w:tcW w:w="1134" w:type="dxa"/>
          </w:tcPr>
          <w:p w14:paraId="33A29544" w14:textId="5C0F5FEE" w:rsidR="00C65F91" w:rsidRPr="002D1A1F" w:rsidRDefault="00C65F91" w:rsidP="002D1A1F">
            <w:pPr>
              <w:jc w:val="both"/>
              <w:rPr>
                <w:rFonts w:eastAsia="Calibri" w:cs="Times New Roman"/>
                <w:color w:val="000000"/>
                <w:szCs w:val="24"/>
              </w:rPr>
            </w:pPr>
            <w:r w:rsidRPr="002D1A1F">
              <w:rPr>
                <w:rFonts w:eastAsia="Calibri" w:cs="Times New Roman"/>
                <w:color w:val="000000"/>
                <w:szCs w:val="24"/>
              </w:rPr>
              <w:lastRenderedPageBreak/>
              <w:t xml:space="preserve">2024 IV </w:t>
            </w:r>
            <w:proofErr w:type="spellStart"/>
            <w:r w:rsidRPr="002D1A1F">
              <w:rPr>
                <w:rFonts w:eastAsia="Calibri" w:cs="Times New Roman"/>
                <w:color w:val="000000"/>
                <w:szCs w:val="24"/>
              </w:rPr>
              <w:t>ketv</w:t>
            </w:r>
            <w:proofErr w:type="spellEnd"/>
            <w:r w:rsidRPr="002D1A1F">
              <w:rPr>
                <w:rFonts w:eastAsia="Calibri" w:cs="Times New Roman"/>
                <w:color w:val="000000"/>
                <w:szCs w:val="24"/>
              </w:rPr>
              <w:t>.</w:t>
            </w:r>
          </w:p>
        </w:tc>
        <w:tc>
          <w:tcPr>
            <w:tcW w:w="1276" w:type="dxa"/>
          </w:tcPr>
          <w:p w14:paraId="7F452565" w14:textId="2EE73F4C" w:rsidR="00C65F91" w:rsidRPr="002D1A1F" w:rsidRDefault="00C65F91" w:rsidP="002D1A1F">
            <w:pPr>
              <w:jc w:val="both"/>
              <w:rPr>
                <w:rFonts w:eastAsia="Calibri" w:cs="Times New Roman"/>
                <w:color w:val="000000"/>
                <w:szCs w:val="24"/>
              </w:rPr>
            </w:pPr>
            <w:r w:rsidRPr="002D1A1F">
              <w:rPr>
                <w:rFonts w:eastAsia="Calibri" w:cs="Times New Roman"/>
                <w:color w:val="000000"/>
                <w:szCs w:val="24"/>
              </w:rPr>
              <w:t xml:space="preserve">2025 IV </w:t>
            </w:r>
            <w:proofErr w:type="spellStart"/>
            <w:r w:rsidRPr="002D1A1F">
              <w:rPr>
                <w:rFonts w:eastAsia="Calibri" w:cs="Times New Roman"/>
                <w:color w:val="000000"/>
                <w:szCs w:val="24"/>
              </w:rPr>
              <w:t>ketv</w:t>
            </w:r>
            <w:proofErr w:type="spellEnd"/>
            <w:r w:rsidRPr="002D1A1F">
              <w:rPr>
                <w:rFonts w:eastAsia="Calibri" w:cs="Times New Roman"/>
                <w:color w:val="000000"/>
                <w:szCs w:val="24"/>
              </w:rPr>
              <w:t>.</w:t>
            </w:r>
          </w:p>
        </w:tc>
        <w:tc>
          <w:tcPr>
            <w:tcW w:w="1134" w:type="dxa"/>
          </w:tcPr>
          <w:p w14:paraId="1AB88FC6" w14:textId="5F7E112E" w:rsidR="00C65F91" w:rsidRPr="002D1A1F" w:rsidRDefault="00C65F91" w:rsidP="002D1A1F">
            <w:pPr>
              <w:jc w:val="both"/>
              <w:rPr>
                <w:rFonts w:eastAsia="Calibri" w:cs="Times New Roman"/>
                <w:color w:val="000000"/>
                <w:szCs w:val="24"/>
              </w:rPr>
            </w:pPr>
            <w:r w:rsidRPr="002D1A1F">
              <w:rPr>
                <w:rFonts w:eastAsia="Calibri" w:cs="Times New Roman"/>
                <w:color w:val="000000"/>
                <w:szCs w:val="24"/>
              </w:rPr>
              <w:t xml:space="preserve">2026 IV </w:t>
            </w:r>
            <w:proofErr w:type="spellStart"/>
            <w:r w:rsidRPr="002D1A1F">
              <w:rPr>
                <w:rFonts w:eastAsia="Calibri" w:cs="Times New Roman"/>
                <w:color w:val="000000"/>
                <w:szCs w:val="24"/>
              </w:rPr>
              <w:t>ketv</w:t>
            </w:r>
            <w:proofErr w:type="spellEnd"/>
            <w:r w:rsidRPr="002D1A1F">
              <w:rPr>
                <w:rFonts w:eastAsia="Calibri" w:cs="Times New Roman"/>
                <w:color w:val="000000"/>
                <w:szCs w:val="24"/>
              </w:rPr>
              <w:t>.</w:t>
            </w:r>
          </w:p>
        </w:tc>
        <w:tc>
          <w:tcPr>
            <w:tcW w:w="1134" w:type="dxa"/>
          </w:tcPr>
          <w:p w14:paraId="357070FA" w14:textId="0C6BF811" w:rsidR="00C65F91" w:rsidRPr="002D1A1F" w:rsidRDefault="00C65F91" w:rsidP="002D1A1F">
            <w:pPr>
              <w:jc w:val="both"/>
              <w:rPr>
                <w:rFonts w:eastAsia="Calibri" w:cs="Times New Roman"/>
                <w:color w:val="000000"/>
                <w:szCs w:val="24"/>
              </w:rPr>
            </w:pPr>
            <w:r w:rsidRPr="002D1A1F">
              <w:rPr>
                <w:rFonts w:eastAsia="Calibri" w:cs="Times New Roman"/>
                <w:color w:val="000000"/>
                <w:szCs w:val="24"/>
              </w:rPr>
              <w:t xml:space="preserve">2027 IV </w:t>
            </w:r>
            <w:proofErr w:type="spellStart"/>
            <w:r w:rsidRPr="002D1A1F">
              <w:rPr>
                <w:rFonts w:eastAsia="Calibri" w:cs="Times New Roman"/>
                <w:color w:val="000000"/>
                <w:szCs w:val="24"/>
              </w:rPr>
              <w:t>ketv</w:t>
            </w:r>
            <w:proofErr w:type="spellEnd"/>
            <w:r w:rsidRPr="002D1A1F">
              <w:rPr>
                <w:rFonts w:eastAsia="Calibri" w:cs="Times New Roman"/>
                <w:color w:val="000000"/>
                <w:szCs w:val="24"/>
              </w:rPr>
              <w:t>.</w:t>
            </w:r>
          </w:p>
        </w:tc>
        <w:tc>
          <w:tcPr>
            <w:tcW w:w="1134" w:type="dxa"/>
          </w:tcPr>
          <w:p w14:paraId="35AAFCB0" w14:textId="4F6B02D0" w:rsidR="00C65F91" w:rsidRPr="002D1A1F" w:rsidRDefault="00C65F91" w:rsidP="002D1A1F">
            <w:pPr>
              <w:jc w:val="both"/>
              <w:rPr>
                <w:rFonts w:eastAsia="Calibri" w:cs="Times New Roman"/>
                <w:color w:val="000000"/>
                <w:szCs w:val="24"/>
              </w:rPr>
            </w:pPr>
            <w:r w:rsidRPr="002D1A1F">
              <w:rPr>
                <w:rFonts w:eastAsia="Calibri" w:cs="Times New Roman"/>
                <w:color w:val="000000"/>
                <w:szCs w:val="24"/>
              </w:rPr>
              <w:t xml:space="preserve">2028 IV </w:t>
            </w:r>
            <w:proofErr w:type="spellStart"/>
            <w:r w:rsidRPr="002D1A1F">
              <w:rPr>
                <w:rFonts w:eastAsia="Calibri" w:cs="Times New Roman"/>
                <w:color w:val="000000"/>
                <w:szCs w:val="24"/>
              </w:rPr>
              <w:t>ketv</w:t>
            </w:r>
            <w:proofErr w:type="spellEnd"/>
            <w:r w:rsidRPr="002D1A1F">
              <w:rPr>
                <w:rFonts w:eastAsia="Calibri" w:cs="Times New Roman"/>
                <w:color w:val="000000"/>
                <w:szCs w:val="24"/>
              </w:rPr>
              <w:t>.</w:t>
            </w:r>
          </w:p>
        </w:tc>
      </w:tr>
      <w:tr w:rsidR="002D1A1F" w:rsidRPr="002D1A1F" w14:paraId="1CEE4B4E" w14:textId="77777777" w:rsidTr="002D1A1F">
        <w:tc>
          <w:tcPr>
            <w:tcW w:w="9497" w:type="dxa"/>
            <w:gridSpan w:val="7"/>
          </w:tcPr>
          <w:p w14:paraId="5838FA7C" w14:textId="77777777" w:rsidR="002D1A1F" w:rsidRPr="002D1A1F" w:rsidRDefault="002D1A1F" w:rsidP="002D1A1F">
            <w:pPr>
              <w:jc w:val="both"/>
              <w:rPr>
                <w:rFonts w:eastAsia="Calibri" w:cs="Times New Roman"/>
                <w:b/>
                <w:bCs/>
                <w:color w:val="000000"/>
                <w:szCs w:val="24"/>
              </w:rPr>
            </w:pPr>
            <w:r w:rsidRPr="002D1A1F">
              <w:rPr>
                <w:rFonts w:eastAsia="Calibri" w:cs="Times New Roman"/>
                <w:b/>
                <w:bCs/>
                <w:color w:val="000000"/>
                <w:szCs w:val="24"/>
              </w:rPr>
              <w:t>2. P</w:t>
            </w:r>
            <w:r w:rsidRPr="002D1A1F">
              <w:rPr>
                <w:rFonts w:eastAsia="Calibri" w:cs="Times New Roman"/>
                <w:b/>
                <w:bCs/>
                <w:szCs w:val="24"/>
              </w:rPr>
              <w:t>lėsti akreditavimo sritį</w:t>
            </w:r>
          </w:p>
        </w:tc>
      </w:tr>
      <w:tr w:rsidR="002D1A1F" w:rsidRPr="002D1A1F" w14:paraId="7395817D" w14:textId="77777777" w:rsidTr="00B60EC1">
        <w:tc>
          <w:tcPr>
            <w:tcW w:w="2369" w:type="dxa"/>
          </w:tcPr>
          <w:p w14:paraId="7CCBA428" w14:textId="07419D78" w:rsidR="002D1A1F" w:rsidRPr="002D1A1F" w:rsidRDefault="002D1A1F" w:rsidP="002D1A1F">
            <w:pPr>
              <w:jc w:val="both"/>
              <w:rPr>
                <w:rFonts w:eastAsia="Calibri" w:cs="Times New Roman"/>
                <w:color w:val="000000"/>
                <w:szCs w:val="24"/>
              </w:rPr>
            </w:pPr>
            <w:r w:rsidRPr="002D1A1F">
              <w:rPr>
                <w:rFonts w:eastAsia="Calibri" w:cs="Times New Roman"/>
                <w:szCs w:val="24"/>
              </w:rPr>
              <w:t xml:space="preserve">Akredituoti tyrimo metodą, taikomą naujo mokestinio kuro žymeklio </w:t>
            </w:r>
            <w:proofErr w:type="spellStart"/>
            <w:r w:rsidRPr="002D1A1F">
              <w:rPr>
                <w:rFonts w:eastAsia="Calibri" w:cs="Times New Roman"/>
                <w:i/>
                <w:iCs/>
                <w:szCs w:val="24"/>
              </w:rPr>
              <w:t>Accutrace</w:t>
            </w:r>
            <w:proofErr w:type="spellEnd"/>
            <w:r w:rsidRPr="002D1A1F">
              <w:rPr>
                <w:rFonts w:eastAsia="Calibri" w:cs="Times New Roman"/>
                <w:szCs w:val="24"/>
              </w:rPr>
              <w:t xml:space="preserve"> </w:t>
            </w:r>
            <w:r w:rsidRPr="002D1A1F">
              <w:rPr>
                <w:rFonts w:eastAsia="Calibri" w:cs="Times New Roman"/>
                <w:szCs w:val="24"/>
                <w:vertAlign w:val="superscript"/>
              </w:rPr>
              <w:t xml:space="preserve">TM </w:t>
            </w:r>
            <w:r w:rsidRPr="002D1A1F">
              <w:rPr>
                <w:rFonts w:eastAsia="Calibri" w:cs="Times New Roman"/>
                <w:szCs w:val="24"/>
              </w:rPr>
              <w:t>PLUS</w:t>
            </w:r>
            <w:r w:rsidRPr="002D1A1F">
              <w:rPr>
                <w:rFonts w:eastAsia="Calibri" w:cs="Times New Roman"/>
                <w:szCs w:val="24"/>
                <w:vertAlign w:val="superscript"/>
              </w:rPr>
              <w:t xml:space="preserve"> </w:t>
            </w:r>
            <w:r w:rsidRPr="002D1A1F">
              <w:rPr>
                <w:rFonts w:eastAsia="Calibri" w:cs="Times New Roman"/>
                <w:szCs w:val="24"/>
              </w:rPr>
              <w:t>kontrolei</w:t>
            </w:r>
          </w:p>
        </w:tc>
        <w:tc>
          <w:tcPr>
            <w:tcW w:w="1316" w:type="dxa"/>
          </w:tcPr>
          <w:p w14:paraId="2B6594E8" w14:textId="4C345E56" w:rsidR="002D1A1F" w:rsidRPr="002D1A1F" w:rsidRDefault="002D1A1F" w:rsidP="002D1A1F">
            <w:pPr>
              <w:jc w:val="both"/>
              <w:rPr>
                <w:rFonts w:eastAsia="Calibri" w:cs="Times New Roman"/>
                <w:color w:val="000000"/>
                <w:sz w:val="20"/>
                <w:szCs w:val="20"/>
              </w:rPr>
            </w:pPr>
            <w:r w:rsidRPr="002D1A1F">
              <w:rPr>
                <w:rFonts w:eastAsia="Calibri" w:cs="Times New Roman"/>
                <w:color w:val="000000"/>
                <w:sz w:val="20"/>
                <w:szCs w:val="20"/>
              </w:rPr>
              <w:t>Akredituotas tyrimo metodas</w:t>
            </w:r>
          </w:p>
        </w:tc>
        <w:tc>
          <w:tcPr>
            <w:tcW w:w="1134" w:type="dxa"/>
          </w:tcPr>
          <w:p w14:paraId="730E6437" w14:textId="77777777" w:rsidR="002D1A1F" w:rsidRPr="002D1A1F" w:rsidRDefault="002D1A1F" w:rsidP="002D1A1F">
            <w:pPr>
              <w:jc w:val="both"/>
              <w:rPr>
                <w:rFonts w:eastAsia="Calibri" w:cs="Times New Roman"/>
                <w:color w:val="000000"/>
                <w:szCs w:val="24"/>
              </w:rPr>
            </w:pPr>
            <w:r w:rsidRPr="002D1A1F">
              <w:rPr>
                <w:rFonts w:eastAsia="Calibri" w:cs="Times New Roman"/>
                <w:color w:val="000000"/>
                <w:szCs w:val="24"/>
              </w:rPr>
              <w:t xml:space="preserve">2024 IV </w:t>
            </w:r>
            <w:proofErr w:type="spellStart"/>
            <w:r w:rsidRPr="002D1A1F">
              <w:rPr>
                <w:rFonts w:eastAsia="Calibri" w:cs="Times New Roman"/>
                <w:color w:val="000000"/>
                <w:szCs w:val="24"/>
              </w:rPr>
              <w:t>ketv</w:t>
            </w:r>
            <w:proofErr w:type="spellEnd"/>
            <w:r w:rsidRPr="002D1A1F">
              <w:rPr>
                <w:rFonts w:eastAsia="Calibri" w:cs="Times New Roman"/>
                <w:color w:val="000000"/>
                <w:szCs w:val="24"/>
              </w:rPr>
              <w:t>.</w:t>
            </w:r>
          </w:p>
        </w:tc>
        <w:tc>
          <w:tcPr>
            <w:tcW w:w="1276" w:type="dxa"/>
          </w:tcPr>
          <w:p w14:paraId="0A278D51" w14:textId="77777777" w:rsidR="002D1A1F" w:rsidRPr="002D1A1F" w:rsidRDefault="002D1A1F" w:rsidP="002D1A1F">
            <w:pPr>
              <w:jc w:val="both"/>
              <w:rPr>
                <w:rFonts w:eastAsia="Calibri" w:cs="Times New Roman"/>
                <w:color w:val="000000"/>
                <w:szCs w:val="24"/>
              </w:rPr>
            </w:pPr>
          </w:p>
        </w:tc>
        <w:tc>
          <w:tcPr>
            <w:tcW w:w="1134" w:type="dxa"/>
          </w:tcPr>
          <w:p w14:paraId="2A650F4E" w14:textId="77777777" w:rsidR="002D1A1F" w:rsidRPr="002D1A1F" w:rsidRDefault="002D1A1F" w:rsidP="002D1A1F">
            <w:pPr>
              <w:jc w:val="both"/>
              <w:rPr>
                <w:rFonts w:eastAsia="Calibri" w:cs="Times New Roman"/>
                <w:color w:val="000000"/>
                <w:szCs w:val="24"/>
              </w:rPr>
            </w:pPr>
          </w:p>
        </w:tc>
        <w:tc>
          <w:tcPr>
            <w:tcW w:w="1134" w:type="dxa"/>
          </w:tcPr>
          <w:p w14:paraId="0208E3A1" w14:textId="77777777" w:rsidR="002D1A1F" w:rsidRPr="002D1A1F" w:rsidRDefault="002D1A1F" w:rsidP="002D1A1F">
            <w:pPr>
              <w:jc w:val="both"/>
              <w:rPr>
                <w:rFonts w:eastAsia="Calibri" w:cs="Times New Roman"/>
                <w:color w:val="000000"/>
                <w:szCs w:val="24"/>
              </w:rPr>
            </w:pPr>
          </w:p>
        </w:tc>
        <w:tc>
          <w:tcPr>
            <w:tcW w:w="1134" w:type="dxa"/>
          </w:tcPr>
          <w:p w14:paraId="2A11451F" w14:textId="77777777" w:rsidR="002D1A1F" w:rsidRPr="002D1A1F" w:rsidRDefault="002D1A1F" w:rsidP="002D1A1F">
            <w:pPr>
              <w:jc w:val="both"/>
              <w:rPr>
                <w:rFonts w:eastAsia="Calibri" w:cs="Times New Roman"/>
                <w:color w:val="000000"/>
                <w:szCs w:val="24"/>
              </w:rPr>
            </w:pPr>
          </w:p>
        </w:tc>
      </w:tr>
      <w:tr w:rsidR="00C65F91" w:rsidRPr="002D1A1F" w14:paraId="0C512FDB" w14:textId="77777777" w:rsidTr="00B60EC1">
        <w:tc>
          <w:tcPr>
            <w:tcW w:w="2369" w:type="dxa"/>
          </w:tcPr>
          <w:p w14:paraId="6D723B4E" w14:textId="4945096F" w:rsidR="00C65F91" w:rsidRPr="002D1A1F" w:rsidRDefault="00C65F91" w:rsidP="002D1A1F">
            <w:pPr>
              <w:jc w:val="both"/>
              <w:rPr>
                <w:rFonts w:eastAsia="Calibri" w:cs="Times New Roman"/>
                <w:szCs w:val="24"/>
              </w:rPr>
            </w:pPr>
            <w:r>
              <w:rPr>
                <w:rFonts w:eastAsia="Calibri" w:cs="Times New Roman"/>
                <w:szCs w:val="24"/>
              </w:rPr>
              <w:t xml:space="preserve">Diegti naujus tyrimo metodus </w:t>
            </w:r>
          </w:p>
        </w:tc>
        <w:tc>
          <w:tcPr>
            <w:tcW w:w="1316" w:type="dxa"/>
          </w:tcPr>
          <w:p w14:paraId="525A1486" w14:textId="3DBA31E2" w:rsidR="00C65F91" w:rsidRPr="002D1A1F" w:rsidRDefault="00C65F91" w:rsidP="002D1A1F">
            <w:pPr>
              <w:jc w:val="both"/>
              <w:rPr>
                <w:rFonts w:eastAsia="Calibri" w:cs="Times New Roman"/>
                <w:color w:val="000000"/>
                <w:sz w:val="20"/>
                <w:szCs w:val="20"/>
              </w:rPr>
            </w:pPr>
            <w:r>
              <w:rPr>
                <w:rFonts w:eastAsia="Calibri" w:cs="Times New Roman"/>
                <w:color w:val="000000"/>
                <w:sz w:val="20"/>
                <w:szCs w:val="20"/>
              </w:rPr>
              <w:t>Įdiegti 6 nauji tyrimo metodai</w:t>
            </w:r>
          </w:p>
        </w:tc>
        <w:tc>
          <w:tcPr>
            <w:tcW w:w="1134" w:type="dxa"/>
          </w:tcPr>
          <w:p w14:paraId="64D235D0" w14:textId="69B28580" w:rsidR="00C65F91" w:rsidRPr="002D1A1F" w:rsidRDefault="00C65F91" w:rsidP="002D1A1F">
            <w:pPr>
              <w:jc w:val="both"/>
              <w:rPr>
                <w:rFonts w:eastAsia="Calibri" w:cs="Times New Roman"/>
                <w:color w:val="000000"/>
                <w:szCs w:val="24"/>
              </w:rPr>
            </w:pPr>
            <w:r>
              <w:rPr>
                <w:rFonts w:eastAsia="Calibri" w:cs="Times New Roman"/>
                <w:color w:val="000000"/>
                <w:szCs w:val="24"/>
              </w:rPr>
              <w:t xml:space="preserve">2024 IV </w:t>
            </w:r>
            <w:proofErr w:type="spellStart"/>
            <w:r>
              <w:rPr>
                <w:rFonts w:eastAsia="Calibri" w:cs="Times New Roman"/>
                <w:color w:val="000000"/>
                <w:szCs w:val="24"/>
              </w:rPr>
              <w:t>ketv</w:t>
            </w:r>
            <w:proofErr w:type="spellEnd"/>
            <w:r>
              <w:rPr>
                <w:rFonts w:eastAsia="Calibri" w:cs="Times New Roman"/>
                <w:color w:val="000000"/>
                <w:szCs w:val="24"/>
              </w:rPr>
              <w:t>.</w:t>
            </w:r>
          </w:p>
        </w:tc>
        <w:tc>
          <w:tcPr>
            <w:tcW w:w="1276" w:type="dxa"/>
          </w:tcPr>
          <w:p w14:paraId="6F67644C" w14:textId="77777777" w:rsidR="00C65F91" w:rsidRPr="002D1A1F" w:rsidRDefault="00C65F91" w:rsidP="002D1A1F">
            <w:pPr>
              <w:jc w:val="both"/>
              <w:rPr>
                <w:rFonts w:eastAsia="Calibri" w:cs="Times New Roman"/>
                <w:color w:val="000000"/>
                <w:szCs w:val="24"/>
              </w:rPr>
            </w:pPr>
          </w:p>
        </w:tc>
        <w:tc>
          <w:tcPr>
            <w:tcW w:w="1134" w:type="dxa"/>
          </w:tcPr>
          <w:p w14:paraId="6C7F9B7D" w14:textId="77777777" w:rsidR="00C65F91" w:rsidRPr="002D1A1F" w:rsidRDefault="00C65F91" w:rsidP="002D1A1F">
            <w:pPr>
              <w:jc w:val="both"/>
              <w:rPr>
                <w:rFonts w:eastAsia="Calibri" w:cs="Times New Roman"/>
                <w:color w:val="000000"/>
                <w:szCs w:val="24"/>
              </w:rPr>
            </w:pPr>
          </w:p>
        </w:tc>
        <w:tc>
          <w:tcPr>
            <w:tcW w:w="1134" w:type="dxa"/>
          </w:tcPr>
          <w:p w14:paraId="767CE931" w14:textId="77777777" w:rsidR="00C65F91" w:rsidRPr="002D1A1F" w:rsidRDefault="00C65F91" w:rsidP="002D1A1F">
            <w:pPr>
              <w:jc w:val="both"/>
              <w:rPr>
                <w:rFonts w:eastAsia="Calibri" w:cs="Times New Roman"/>
                <w:color w:val="000000"/>
                <w:szCs w:val="24"/>
              </w:rPr>
            </w:pPr>
          </w:p>
        </w:tc>
        <w:tc>
          <w:tcPr>
            <w:tcW w:w="1134" w:type="dxa"/>
          </w:tcPr>
          <w:p w14:paraId="310AF476" w14:textId="77777777" w:rsidR="00C65F91" w:rsidRPr="002D1A1F" w:rsidRDefault="00C65F91" w:rsidP="002D1A1F">
            <w:pPr>
              <w:jc w:val="both"/>
              <w:rPr>
                <w:rFonts w:eastAsia="Calibri" w:cs="Times New Roman"/>
                <w:color w:val="000000"/>
                <w:szCs w:val="24"/>
              </w:rPr>
            </w:pPr>
          </w:p>
        </w:tc>
      </w:tr>
      <w:tr w:rsidR="002D1A1F" w:rsidRPr="002D1A1F" w14:paraId="0ADBB30F" w14:textId="77777777" w:rsidTr="002D1A1F">
        <w:tc>
          <w:tcPr>
            <w:tcW w:w="9497" w:type="dxa"/>
            <w:gridSpan w:val="7"/>
          </w:tcPr>
          <w:p w14:paraId="49959757" w14:textId="366426E0" w:rsidR="002D1A1F" w:rsidRPr="002D1A1F" w:rsidRDefault="002D1A1F" w:rsidP="002D1A1F">
            <w:pPr>
              <w:jc w:val="both"/>
              <w:rPr>
                <w:rFonts w:eastAsia="Calibri" w:cs="Times New Roman"/>
                <w:color w:val="000000"/>
                <w:szCs w:val="24"/>
              </w:rPr>
            </w:pPr>
            <w:r w:rsidRPr="002D1A1F">
              <w:rPr>
                <w:rFonts w:eastAsia="Calibri" w:cs="Times New Roman"/>
                <w:b/>
                <w:bCs/>
                <w:color w:val="000000"/>
                <w:szCs w:val="24"/>
              </w:rPr>
              <w:t>3</w:t>
            </w:r>
            <w:r w:rsidRPr="002D1A1F">
              <w:rPr>
                <w:rFonts w:eastAsia="Calibri" w:cs="Times New Roman"/>
                <w:color w:val="000000"/>
                <w:szCs w:val="24"/>
              </w:rPr>
              <w:t>.</w:t>
            </w:r>
            <w:r>
              <w:rPr>
                <w:rFonts w:eastAsia="Calibri" w:cs="Times New Roman"/>
                <w:color w:val="000000"/>
                <w:szCs w:val="24"/>
              </w:rPr>
              <w:t xml:space="preserve"> </w:t>
            </w:r>
            <w:r w:rsidRPr="002D1A1F">
              <w:rPr>
                <w:rFonts w:eastAsia="Calibri" w:cs="Times New Roman"/>
                <w:b/>
                <w:bCs/>
                <w:color w:val="000000"/>
                <w:szCs w:val="24"/>
              </w:rPr>
              <w:t xml:space="preserve">Įgyvendinti </w:t>
            </w:r>
            <w:r w:rsidRPr="002D1A1F">
              <w:rPr>
                <w:rFonts w:eastAsia="Calibri" w:cs="Times New Roman"/>
                <w:b/>
                <w:bCs/>
                <w:szCs w:val="24"/>
              </w:rPr>
              <w:t>Muitinės laboratorijos investicijų projektą 2022-2024 m. „Muitinės laboratorijos gebėjimų stiprinimas ir techninės bazės atnaujinimas veiklos tęstinumui užtikrinti“ finansuojamą muitinio tikrinimo įrangos finansinės paramos priemonės (CCEI), įtrauktos į Integruoto sienų valdymo fondą, pirmo šaukimo lėšomis (2021_LT_CLAB)</w:t>
            </w:r>
          </w:p>
        </w:tc>
      </w:tr>
      <w:tr w:rsidR="002D1A1F" w:rsidRPr="002D1A1F" w14:paraId="376748DA" w14:textId="77777777" w:rsidTr="00B60EC1">
        <w:tc>
          <w:tcPr>
            <w:tcW w:w="2369" w:type="dxa"/>
          </w:tcPr>
          <w:p w14:paraId="297100BF" w14:textId="77777777" w:rsidR="002D1A1F" w:rsidRPr="002D1A1F" w:rsidRDefault="002D1A1F" w:rsidP="002D1A1F">
            <w:pPr>
              <w:jc w:val="both"/>
              <w:rPr>
                <w:rFonts w:eastAsia="Calibri" w:cs="Times New Roman"/>
                <w:color w:val="000000"/>
                <w:szCs w:val="24"/>
              </w:rPr>
            </w:pPr>
            <w:r w:rsidRPr="002D1A1F">
              <w:rPr>
                <w:rFonts w:eastAsia="Calibri" w:cs="Times New Roman"/>
                <w:szCs w:val="24"/>
              </w:rPr>
              <w:t xml:space="preserve">Baigti įgyvendinti investicijų projektą </w:t>
            </w:r>
          </w:p>
        </w:tc>
        <w:tc>
          <w:tcPr>
            <w:tcW w:w="1316" w:type="dxa"/>
          </w:tcPr>
          <w:p w14:paraId="6F365F00" w14:textId="77777777" w:rsidR="002D1A1F" w:rsidRPr="002D1A1F" w:rsidRDefault="002D1A1F" w:rsidP="002D1A1F">
            <w:pPr>
              <w:jc w:val="both"/>
              <w:rPr>
                <w:rFonts w:eastAsia="Calibri" w:cs="Times New Roman"/>
                <w:color w:val="000000"/>
                <w:szCs w:val="24"/>
              </w:rPr>
            </w:pPr>
            <w:r w:rsidRPr="002D1A1F">
              <w:rPr>
                <w:rFonts w:eastAsia="Calibri" w:cs="Times New Roman"/>
                <w:color w:val="000000"/>
                <w:szCs w:val="24"/>
              </w:rPr>
              <w:t>Užbaigtas projektas</w:t>
            </w:r>
          </w:p>
        </w:tc>
        <w:tc>
          <w:tcPr>
            <w:tcW w:w="1134" w:type="dxa"/>
          </w:tcPr>
          <w:p w14:paraId="13E76502" w14:textId="77777777" w:rsidR="002D1A1F" w:rsidRPr="002D1A1F" w:rsidRDefault="002D1A1F" w:rsidP="002D1A1F">
            <w:pPr>
              <w:jc w:val="both"/>
              <w:rPr>
                <w:rFonts w:eastAsia="Calibri" w:cs="Times New Roman"/>
                <w:color w:val="000000"/>
                <w:szCs w:val="24"/>
              </w:rPr>
            </w:pPr>
            <w:r w:rsidRPr="002D1A1F">
              <w:rPr>
                <w:rFonts w:eastAsia="Calibri" w:cs="Times New Roman"/>
                <w:color w:val="000000"/>
                <w:szCs w:val="24"/>
              </w:rPr>
              <w:t xml:space="preserve">2024 IV </w:t>
            </w:r>
            <w:proofErr w:type="spellStart"/>
            <w:r w:rsidRPr="002D1A1F">
              <w:rPr>
                <w:rFonts w:eastAsia="Calibri" w:cs="Times New Roman"/>
                <w:color w:val="000000"/>
                <w:szCs w:val="24"/>
              </w:rPr>
              <w:t>ketv</w:t>
            </w:r>
            <w:proofErr w:type="spellEnd"/>
            <w:r w:rsidRPr="002D1A1F">
              <w:rPr>
                <w:rFonts w:eastAsia="Calibri" w:cs="Times New Roman"/>
                <w:color w:val="000000"/>
                <w:szCs w:val="24"/>
              </w:rPr>
              <w:t>.</w:t>
            </w:r>
          </w:p>
        </w:tc>
        <w:tc>
          <w:tcPr>
            <w:tcW w:w="1276" w:type="dxa"/>
          </w:tcPr>
          <w:p w14:paraId="2F1AC7AF" w14:textId="77777777" w:rsidR="002D1A1F" w:rsidRPr="002D1A1F" w:rsidRDefault="002D1A1F" w:rsidP="002D1A1F">
            <w:pPr>
              <w:jc w:val="both"/>
              <w:rPr>
                <w:rFonts w:eastAsia="Calibri" w:cs="Times New Roman"/>
                <w:color w:val="000000"/>
                <w:szCs w:val="24"/>
              </w:rPr>
            </w:pPr>
          </w:p>
        </w:tc>
        <w:tc>
          <w:tcPr>
            <w:tcW w:w="1134" w:type="dxa"/>
          </w:tcPr>
          <w:p w14:paraId="316B42C4" w14:textId="77777777" w:rsidR="002D1A1F" w:rsidRPr="002D1A1F" w:rsidRDefault="002D1A1F" w:rsidP="002D1A1F">
            <w:pPr>
              <w:jc w:val="both"/>
              <w:rPr>
                <w:rFonts w:eastAsia="Calibri" w:cs="Times New Roman"/>
                <w:color w:val="000000"/>
                <w:szCs w:val="24"/>
              </w:rPr>
            </w:pPr>
          </w:p>
        </w:tc>
        <w:tc>
          <w:tcPr>
            <w:tcW w:w="1134" w:type="dxa"/>
          </w:tcPr>
          <w:p w14:paraId="7AED29E6" w14:textId="77777777" w:rsidR="002D1A1F" w:rsidRPr="002D1A1F" w:rsidRDefault="002D1A1F" w:rsidP="002D1A1F">
            <w:pPr>
              <w:jc w:val="both"/>
              <w:rPr>
                <w:rFonts w:eastAsia="Calibri" w:cs="Times New Roman"/>
                <w:color w:val="000000"/>
                <w:szCs w:val="24"/>
              </w:rPr>
            </w:pPr>
          </w:p>
        </w:tc>
        <w:tc>
          <w:tcPr>
            <w:tcW w:w="1134" w:type="dxa"/>
          </w:tcPr>
          <w:p w14:paraId="776D4E71" w14:textId="77777777" w:rsidR="002D1A1F" w:rsidRPr="002D1A1F" w:rsidRDefault="002D1A1F" w:rsidP="002D1A1F">
            <w:pPr>
              <w:jc w:val="both"/>
              <w:rPr>
                <w:rFonts w:eastAsia="Calibri" w:cs="Times New Roman"/>
                <w:color w:val="000000"/>
                <w:szCs w:val="24"/>
              </w:rPr>
            </w:pPr>
          </w:p>
        </w:tc>
      </w:tr>
      <w:tr w:rsidR="002D1A1F" w:rsidRPr="002D1A1F" w14:paraId="377FED86" w14:textId="77777777" w:rsidTr="00B60EC1">
        <w:tc>
          <w:tcPr>
            <w:tcW w:w="2369" w:type="dxa"/>
          </w:tcPr>
          <w:p w14:paraId="10629A28" w14:textId="77777777" w:rsidR="002D1A1F" w:rsidRPr="002D1A1F" w:rsidRDefault="002D1A1F" w:rsidP="002D1A1F">
            <w:pPr>
              <w:rPr>
                <w:rFonts w:eastAsia="Calibri" w:cs="Times New Roman"/>
                <w:color w:val="000000"/>
                <w:szCs w:val="24"/>
              </w:rPr>
            </w:pPr>
            <w:r w:rsidRPr="002D1A1F">
              <w:rPr>
                <w:rFonts w:eastAsia="Calibri" w:cs="Times New Roman"/>
                <w:szCs w:val="24"/>
              </w:rPr>
              <w:t>Pateikti galutinę ataskaitą Europos Komisijai apie Dotacijos sutarties, pasirašytos projektui 2021_LT_CLAB finansuoti, įgyvendinimą ir gauti galutinį finansavimą</w:t>
            </w:r>
          </w:p>
        </w:tc>
        <w:tc>
          <w:tcPr>
            <w:tcW w:w="1316" w:type="dxa"/>
          </w:tcPr>
          <w:p w14:paraId="31C0A488" w14:textId="77777777" w:rsidR="002D1A1F" w:rsidRPr="002D1A1F" w:rsidRDefault="002D1A1F" w:rsidP="002D1A1F">
            <w:pPr>
              <w:jc w:val="both"/>
              <w:rPr>
                <w:rFonts w:eastAsia="Calibri" w:cs="Times New Roman"/>
                <w:color w:val="000000"/>
                <w:szCs w:val="24"/>
              </w:rPr>
            </w:pPr>
            <w:r w:rsidRPr="002D1A1F">
              <w:rPr>
                <w:rFonts w:eastAsia="Calibri" w:cs="Times New Roman"/>
                <w:color w:val="000000"/>
                <w:szCs w:val="24"/>
              </w:rPr>
              <w:t>Pateikta ataskaita, gautas finansavimas</w:t>
            </w:r>
          </w:p>
        </w:tc>
        <w:tc>
          <w:tcPr>
            <w:tcW w:w="1134" w:type="dxa"/>
          </w:tcPr>
          <w:p w14:paraId="4674D17E" w14:textId="77777777" w:rsidR="002D1A1F" w:rsidRPr="002D1A1F" w:rsidRDefault="002D1A1F" w:rsidP="002D1A1F">
            <w:pPr>
              <w:jc w:val="both"/>
              <w:rPr>
                <w:rFonts w:eastAsia="Calibri" w:cs="Times New Roman"/>
                <w:color w:val="000000"/>
                <w:szCs w:val="24"/>
              </w:rPr>
            </w:pPr>
          </w:p>
        </w:tc>
        <w:tc>
          <w:tcPr>
            <w:tcW w:w="1276" w:type="dxa"/>
          </w:tcPr>
          <w:p w14:paraId="0A95B1AF" w14:textId="77777777" w:rsidR="002D1A1F" w:rsidRPr="002D1A1F" w:rsidRDefault="002D1A1F" w:rsidP="002D1A1F">
            <w:pPr>
              <w:jc w:val="both"/>
              <w:rPr>
                <w:rFonts w:eastAsia="Calibri" w:cs="Times New Roman"/>
                <w:color w:val="000000"/>
                <w:szCs w:val="24"/>
              </w:rPr>
            </w:pPr>
            <w:r w:rsidRPr="002D1A1F">
              <w:rPr>
                <w:rFonts w:eastAsia="Calibri" w:cs="Times New Roman"/>
                <w:color w:val="000000"/>
                <w:szCs w:val="24"/>
              </w:rPr>
              <w:t>2025-05-30</w:t>
            </w:r>
          </w:p>
        </w:tc>
        <w:tc>
          <w:tcPr>
            <w:tcW w:w="1134" w:type="dxa"/>
          </w:tcPr>
          <w:p w14:paraId="2BCE310F" w14:textId="77777777" w:rsidR="002D1A1F" w:rsidRPr="002D1A1F" w:rsidRDefault="002D1A1F" w:rsidP="002D1A1F">
            <w:pPr>
              <w:jc w:val="both"/>
              <w:rPr>
                <w:rFonts w:eastAsia="Calibri" w:cs="Times New Roman"/>
                <w:color w:val="000000"/>
                <w:szCs w:val="24"/>
              </w:rPr>
            </w:pPr>
          </w:p>
        </w:tc>
        <w:tc>
          <w:tcPr>
            <w:tcW w:w="1134" w:type="dxa"/>
          </w:tcPr>
          <w:p w14:paraId="203CE5EA" w14:textId="77777777" w:rsidR="002D1A1F" w:rsidRPr="002D1A1F" w:rsidRDefault="002D1A1F" w:rsidP="002D1A1F">
            <w:pPr>
              <w:jc w:val="both"/>
              <w:rPr>
                <w:rFonts w:eastAsia="Calibri" w:cs="Times New Roman"/>
                <w:color w:val="000000"/>
                <w:szCs w:val="24"/>
              </w:rPr>
            </w:pPr>
          </w:p>
        </w:tc>
        <w:tc>
          <w:tcPr>
            <w:tcW w:w="1134" w:type="dxa"/>
          </w:tcPr>
          <w:p w14:paraId="5B4D1733" w14:textId="77777777" w:rsidR="002D1A1F" w:rsidRPr="002D1A1F" w:rsidRDefault="002D1A1F" w:rsidP="002D1A1F">
            <w:pPr>
              <w:jc w:val="both"/>
              <w:rPr>
                <w:rFonts w:eastAsia="Calibri" w:cs="Times New Roman"/>
                <w:color w:val="000000"/>
                <w:szCs w:val="24"/>
              </w:rPr>
            </w:pPr>
          </w:p>
        </w:tc>
      </w:tr>
      <w:tr w:rsidR="002D1A1F" w:rsidRPr="002D1A1F" w14:paraId="2FCFE245" w14:textId="77777777" w:rsidTr="002D1A1F">
        <w:tc>
          <w:tcPr>
            <w:tcW w:w="9497" w:type="dxa"/>
            <w:gridSpan w:val="7"/>
          </w:tcPr>
          <w:p w14:paraId="41C7FA08" w14:textId="6B3C0384" w:rsidR="002D1A1F" w:rsidRPr="002D1A1F" w:rsidRDefault="002D1A1F" w:rsidP="002D1A1F">
            <w:pPr>
              <w:jc w:val="both"/>
              <w:rPr>
                <w:rFonts w:eastAsia="Calibri" w:cs="Times New Roman"/>
                <w:b/>
                <w:bCs/>
                <w:color w:val="000000"/>
                <w:szCs w:val="24"/>
              </w:rPr>
            </w:pPr>
            <w:r w:rsidRPr="002D1A1F">
              <w:rPr>
                <w:rFonts w:eastAsia="Calibri" w:cs="Times New Roman"/>
                <w:b/>
                <w:bCs/>
                <w:color w:val="000000"/>
                <w:szCs w:val="24"/>
              </w:rPr>
              <w:t>4. Atnaujinti ir plėsti Muitinės laboratorijos techninę bazę</w:t>
            </w:r>
            <w:r w:rsidR="00556158">
              <w:rPr>
                <w:rFonts w:eastAsia="Calibri" w:cs="Times New Roman"/>
                <w:b/>
                <w:bCs/>
                <w:color w:val="000000"/>
                <w:szCs w:val="24"/>
              </w:rPr>
              <w:t xml:space="preserve"> </w:t>
            </w:r>
            <w:r w:rsidR="00F85C6D">
              <w:rPr>
                <w:rFonts w:eastAsia="Calibri" w:cs="Times New Roman"/>
                <w:b/>
                <w:bCs/>
                <w:color w:val="000000"/>
                <w:szCs w:val="24"/>
              </w:rPr>
              <w:t xml:space="preserve">pageidautina </w:t>
            </w:r>
            <w:r w:rsidR="00556158">
              <w:rPr>
                <w:rFonts w:eastAsia="Calibri" w:cs="Times New Roman"/>
                <w:b/>
                <w:bCs/>
                <w:color w:val="000000"/>
                <w:szCs w:val="24"/>
              </w:rPr>
              <w:t>pasinaudojant alternatyviais finansavimo šaltiniais (ne iš muitinei skirtų valstybės asignavimų)</w:t>
            </w:r>
          </w:p>
        </w:tc>
      </w:tr>
      <w:tr w:rsidR="002D1A1F" w:rsidRPr="002D1A1F" w14:paraId="62B34129" w14:textId="77777777" w:rsidTr="00B60EC1">
        <w:tc>
          <w:tcPr>
            <w:tcW w:w="2369" w:type="dxa"/>
          </w:tcPr>
          <w:p w14:paraId="552830FB" w14:textId="77777777" w:rsidR="002D1A1F" w:rsidRPr="002D1A1F" w:rsidRDefault="002D1A1F" w:rsidP="002D1A1F">
            <w:pPr>
              <w:rPr>
                <w:rFonts w:eastAsia="Calibri" w:cs="Times New Roman"/>
                <w:szCs w:val="24"/>
              </w:rPr>
            </w:pPr>
            <w:r w:rsidRPr="002D1A1F">
              <w:rPr>
                <w:rFonts w:eastAsia="Calibri" w:cs="Times New Roman"/>
                <w:szCs w:val="24"/>
              </w:rPr>
              <w:t>Parengti ir pateikti Europos Komisijai naują paraišką laboratoriniams įrenginiams įsigyti, pasinaudojant muitinio tikrinimo įrangos finansinės paramos priemonės (CCEI), įtrauktos į Integruoto sienų valdymo fondą, antro šaukimo lėšomis (LT_LAB_CCEI23)</w:t>
            </w:r>
          </w:p>
        </w:tc>
        <w:tc>
          <w:tcPr>
            <w:tcW w:w="1316" w:type="dxa"/>
          </w:tcPr>
          <w:p w14:paraId="01EBE4B4" w14:textId="77777777" w:rsidR="002D1A1F" w:rsidRPr="002D1A1F" w:rsidRDefault="002D1A1F" w:rsidP="002D1A1F">
            <w:pPr>
              <w:jc w:val="both"/>
              <w:rPr>
                <w:rFonts w:eastAsia="Calibri" w:cs="Times New Roman"/>
                <w:color w:val="000000"/>
                <w:szCs w:val="24"/>
              </w:rPr>
            </w:pPr>
            <w:r w:rsidRPr="002D1A1F">
              <w:rPr>
                <w:rFonts w:eastAsia="Calibri" w:cs="Times New Roman"/>
                <w:color w:val="000000"/>
                <w:szCs w:val="24"/>
              </w:rPr>
              <w:t>Pateikta paraiška</w:t>
            </w:r>
          </w:p>
        </w:tc>
        <w:tc>
          <w:tcPr>
            <w:tcW w:w="1134" w:type="dxa"/>
          </w:tcPr>
          <w:p w14:paraId="51B186DC" w14:textId="77777777" w:rsidR="002D1A1F" w:rsidRPr="002D1A1F" w:rsidRDefault="002D1A1F" w:rsidP="002D1A1F">
            <w:pPr>
              <w:jc w:val="both"/>
              <w:rPr>
                <w:rFonts w:eastAsia="Calibri" w:cs="Times New Roman"/>
                <w:color w:val="000000"/>
                <w:szCs w:val="24"/>
              </w:rPr>
            </w:pPr>
            <w:r w:rsidRPr="002D1A1F">
              <w:rPr>
                <w:rFonts w:eastAsia="Calibri" w:cs="Times New Roman"/>
                <w:color w:val="000000"/>
                <w:szCs w:val="24"/>
              </w:rPr>
              <w:t>2024-02-27</w:t>
            </w:r>
          </w:p>
        </w:tc>
        <w:tc>
          <w:tcPr>
            <w:tcW w:w="1276" w:type="dxa"/>
          </w:tcPr>
          <w:p w14:paraId="228F8BFB" w14:textId="77777777" w:rsidR="002D1A1F" w:rsidRPr="002D1A1F" w:rsidRDefault="002D1A1F" w:rsidP="002D1A1F">
            <w:pPr>
              <w:jc w:val="both"/>
              <w:rPr>
                <w:rFonts w:eastAsia="Calibri" w:cs="Times New Roman"/>
                <w:color w:val="000000"/>
                <w:szCs w:val="24"/>
              </w:rPr>
            </w:pPr>
          </w:p>
        </w:tc>
        <w:tc>
          <w:tcPr>
            <w:tcW w:w="1134" w:type="dxa"/>
          </w:tcPr>
          <w:p w14:paraId="77F9CF6E" w14:textId="77777777" w:rsidR="002D1A1F" w:rsidRPr="002D1A1F" w:rsidRDefault="002D1A1F" w:rsidP="002D1A1F">
            <w:pPr>
              <w:jc w:val="both"/>
              <w:rPr>
                <w:rFonts w:eastAsia="Calibri" w:cs="Times New Roman"/>
                <w:color w:val="000000"/>
                <w:szCs w:val="24"/>
              </w:rPr>
            </w:pPr>
          </w:p>
        </w:tc>
        <w:tc>
          <w:tcPr>
            <w:tcW w:w="1134" w:type="dxa"/>
          </w:tcPr>
          <w:p w14:paraId="4597B874" w14:textId="77777777" w:rsidR="002D1A1F" w:rsidRPr="002D1A1F" w:rsidRDefault="002D1A1F" w:rsidP="002D1A1F">
            <w:pPr>
              <w:jc w:val="both"/>
              <w:rPr>
                <w:rFonts w:eastAsia="Calibri" w:cs="Times New Roman"/>
                <w:color w:val="000000"/>
                <w:szCs w:val="24"/>
              </w:rPr>
            </w:pPr>
          </w:p>
        </w:tc>
        <w:tc>
          <w:tcPr>
            <w:tcW w:w="1134" w:type="dxa"/>
          </w:tcPr>
          <w:p w14:paraId="688C1FF7" w14:textId="77777777" w:rsidR="002D1A1F" w:rsidRPr="002D1A1F" w:rsidRDefault="002D1A1F" w:rsidP="002D1A1F">
            <w:pPr>
              <w:jc w:val="both"/>
              <w:rPr>
                <w:rFonts w:eastAsia="Calibri" w:cs="Times New Roman"/>
                <w:color w:val="000000"/>
                <w:szCs w:val="24"/>
              </w:rPr>
            </w:pPr>
          </w:p>
        </w:tc>
      </w:tr>
      <w:tr w:rsidR="002D1A1F" w:rsidRPr="002D1A1F" w14:paraId="2407BADB" w14:textId="77777777" w:rsidTr="00B60EC1">
        <w:tc>
          <w:tcPr>
            <w:tcW w:w="2369" w:type="dxa"/>
          </w:tcPr>
          <w:p w14:paraId="11D7BA75" w14:textId="5BE21CBD" w:rsidR="002D1A1F" w:rsidRPr="002D1A1F" w:rsidRDefault="002D1A1F" w:rsidP="002D1A1F">
            <w:pPr>
              <w:rPr>
                <w:rFonts w:eastAsia="Calibri" w:cs="Times New Roman"/>
                <w:szCs w:val="24"/>
              </w:rPr>
            </w:pPr>
            <w:r w:rsidRPr="002D1A1F">
              <w:rPr>
                <w:rFonts w:eastAsia="Calibri" w:cs="Times New Roman"/>
                <w:szCs w:val="24"/>
              </w:rPr>
              <w:t xml:space="preserve">Pakeisti pasenusius laboratorinius baldus technologiškai moderniais, </w:t>
            </w:r>
            <w:r w:rsidRPr="002D1A1F">
              <w:rPr>
                <w:rFonts w:eastAsia="Calibri" w:cs="Times New Roman"/>
                <w:szCs w:val="24"/>
              </w:rPr>
              <w:lastRenderedPageBreak/>
              <w:t>pritaikytais patogiam ir saugiam laboratorinių įrenginių naudojimui</w:t>
            </w:r>
            <w:r w:rsidR="00B60EC1">
              <w:rPr>
                <w:rFonts w:eastAsia="Calibri" w:cs="Times New Roman"/>
                <w:szCs w:val="24"/>
              </w:rPr>
              <w:t xml:space="preserve"> </w:t>
            </w:r>
          </w:p>
        </w:tc>
        <w:tc>
          <w:tcPr>
            <w:tcW w:w="1316" w:type="dxa"/>
          </w:tcPr>
          <w:p w14:paraId="1C18D7F3" w14:textId="224EF2B7" w:rsidR="002D1A1F" w:rsidRPr="002D1A1F" w:rsidRDefault="002D1A1F" w:rsidP="00B60EC1">
            <w:pPr>
              <w:jc w:val="both"/>
              <w:rPr>
                <w:rFonts w:eastAsia="Calibri" w:cs="Times New Roman"/>
                <w:color w:val="000000"/>
                <w:szCs w:val="24"/>
              </w:rPr>
            </w:pPr>
          </w:p>
        </w:tc>
        <w:tc>
          <w:tcPr>
            <w:tcW w:w="1134" w:type="dxa"/>
          </w:tcPr>
          <w:p w14:paraId="002136A9" w14:textId="3A32E7C4" w:rsidR="002D1A1F" w:rsidRPr="002D1A1F" w:rsidRDefault="002D1A1F" w:rsidP="002D1A1F">
            <w:pPr>
              <w:jc w:val="both"/>
              <w:rPr>
                <w:rFonts w:eastAsia="Calibri" w:cs="Times New Roman"/>
                <w:color w:val="000000"/>
                <w:szCs w:val="24"/>
              </w:rPr>
            </w:pPr>
          </w:p>
        </w:tc>
        <w:tc>
          <w:tcPr>
            <w:tcW w:w="1276" w:type="dxa"/>
          </w:tcPr>
          <w:p w14:paraId="153A9969" w14:textId="77777777" w:rsidR="002D1A1F" w:rsidRPr="002D1A1F" w:rsidRDefault="002D1A1F" w:rsidP="002D1A1F">
            <w:pPr>
              <w:jc w:val="both"/>
              <w:rPr>
                <w:rFonts w:eastAsia="Calibri" w:cs="Times New Roman"/>
                <w:color w:val="000000"/>
                <w:szCs w:val="24"/>
              </w:rPr>
            </w:pPr>
          </w:p>
        </w:tc>
        <w:tc>
          <w:tcPr>
            <w:tcW w:w="1134" w:type="dxa"/>
          </w:tcPr>
          <w:p w14:paraId="041C047A" w14:textId="77777777" w:rsidR="002D1A1F" w:rsidRPr="002D1A1F" w:rsidRDefault="002D1A1F" w:rsidP="002D1A1F">
            <w:pPr>
              <w:jc w:val="both"/>
              <w:rPr>
                <w:rFonts w:eastAsia="Calibri" w:cs="Times New Roman"/>
                <w:color w:val="000000"/>
                <w:szCs w:val="24"/>
              </w:rPr>
            </w:pPr>
            <w:r w:rsidRPr="002D1A1F">
              <w:rPr>
                <w:rFonts w:eastAsia="Calibri" w:cs="Times New Roman"/>
                <w:color w:val="000000"/>
                <w:szCs w:val="24"/>
              </w:rPr>
              <w:t xml:space="preserve">2026 IV </w:t>
            </w:r>
            <w:proofErr w:type="spellStart"/>
            <w:r w:rsidRPr="002D1A1F">
              <w:rPr>
                <w:rFonts w:eastAsia="Calibri" w:cs="Times New Roman"/>
                <w:color w:val="000000"/>
                <w:szCs w:val="24"/>
              </w:rPr>
              <w:t>ketv</w:t>
            </w:r>
            <w:proofErr w:type="spellEnd"/>
            <w:r w:rsidRPr="002D1A1F">
              <w:rPr>
                <w:rFonts w:eastAsia="Calibri" w:cs="Times New Roman"/>
                <w:color w:val="000000"/>
                <w:szCs w:val="24"/>
              </w:rPr>
              <w:t>.</w:t>
            </w:r>
          </w:p>
        </w:tc>
        <w:tc>
          <w:tcPr>
            <w:tcW w:w="1134" w:type="dxa"/>
          </w:tcPr>
          <w:p w14:paraId="41E4680F" w14:textId="77777777" w:rsidR="002D1A1F" w:rsidRPr="002D1A1F" w:rsidRDefault="002D1A1F" w:rsidP="002D1A1F">
            <w:pPr>
              <w:jc w:val="both"/>
              <w:rPr>
                <w:rFonts w:eastAsia="Calibri" w:cs="Times New Roman"/>
                <w:color w:val="000000"/>
                <w:szCs w:val="24"/>
              </w:rPr>
            </w:pPr>
          </w:p>
        </w:tc>
        <w:tc>
          <w:tcPr>
            <w:tcW w:w="1134" w:type="dxa"/>
          </w:tcPr>
          <w:p w14:paraId="7278EC22" w14:textId="77777777" w:rsidR="002D1A1F" w:rsidRPr="002D1A1F" w:rsidRDefault="002D1A1F" w:rsidP="002D1A1F">
            <w:pPr>
              <w:jc w:val="both"/>
              <w:rPr>
                <w:rFonts w:eastAsia="Calibri" w:cs="Times New Roman"/>
                <w:color w:val="000000"/>
                <w:szCs w:val="24"/>
              </w:rPr>
            </w:pPr>
          </w:p>
        </w:tc>
      </w:tr>
      <w:tr w:rsidR="00C65F91" w:rsidRPr="002D1A1F" w14:paraId="1E6A82A3" w14:textId="77777777" w:rsidTr="00B60EC1">
        <w:tc>
          <w:tcPr>
            <w:tcW w:w="2369" w:type="dxa"/>
          </w:tcPr>
          <w:p w14:paraId="5C99ECA4" w14:textId="5C8392FC" w:rsidR="00C65F91" w:rsidRPr="002D1A1F" w:rsidRDefault="00093FB3" w:rsidP="002D1A1F">
            <w:pPr>
              <w:rPr>
                <w:rFonts w:eastAsia="Calibri" w:cs="Times New Roman"/>
                <w:szCs w:val="24"/>
              </w:rPr>
            </w:pPr>
            <w:r>
              <w:rPr>
                <w:rFonts w:eastAsia="Calibri" w:cs="Times New Roman"/>
                <w:szCs w:val="24"/>
              </w:rPr>
              <w:t>Įsigyti techniką naujų tyrimo metodų atlikimui</w:t>
            </w:r>
          </w:p>
        </w:tc>
        <w:tc>
          <w:tcPr>
            <w:tcW w:w="1316" w:type="dxa"/>
          </w:tcPr>
          <w:p w14:paraId="49C2199E" w14:textId="64F36180" w:rsidR="00C65F91" w:rsidRPr="000A5D1D" w:rsidRDefault="00C65F91" w:rsidP="00C65F91">
            <w:pPr>
              <w:jc w:val="both"/>
              <w:rPr>
                <w:rFonts w:eastAsia="Calibri" w:cs="Times New Roman"/>
                <w:color w:val="000000"/>
                <w:szCs w:val="24"/>
              </w:rPr>
            </w:pPr>
            <w:r w:rsidRPr="000A5D1D">
              <w:rPr>
                <w:rFonts w:eastAsia="Calibri" w:cs="Times New Roman"/>
                <w:color w:val="000000"/>
                <w:szCs w:val="24"/>
              </w:rPr>
              <w:t xml:space="preserve">Įsigyta naujų laboratorinių įrenginių – 6 </w:t>
            </w:r>
          </w:p>
          <w:p w14:paraId="181847EA" w14:textId="365D92A6" w:rsidR="00C65F91" w:rsidRPr="00B60EC1" w:rsidRDefault="00C65F91" w:rsidP="00C65F91">
            <w:pPr>
              <w:jc w:val="both"/>
              <w:rPr>
                <w:rFonts w:eastAsia="Calibri" w:cs="Times New Roman"/>
                <w:color w:val="000000"/>
                <w:szCs w:val="24"/>
                <w:highlight w:val="green"/>
              </w:rPr>
            </w:pPr>
            <w:r w:rsidRPr="000A5D1D">
              <w:rPr>
                <w:rFonts w:eastAsia="Calibri" w:cs="Times New Roman"/>
                <w:color w:val="000000"/>
                <w:szCs w:val="24"/>
              </w:rPr>
              <w:t>vnt.</w:t>
            </w:r>
          </w:p>
        </w:tc>
        <w:tc>
          <w:tcPr>
            <w:tcW w:w="1134" w:type="dxa"/>
          </w:tcPr>
          <w:p w14:paraId="768BAAE8" w14:textId="4DF21A27" w:rsidR="00C65F91" w:rsidRPr="00B60EC1" w:rsidRDefault="00C65F91" w:rsidP="002D1A1F">
            <w:pPr>
              <w:jc w:val="both"/>
              <w:rPr>
                <w:rFonts w:eastAsia="Calibri" w:cs="Times New Roman"/>
                <w:color w:val="000000"/>
                <w:szCs w:val="24"/>
                <w:highlight w:val="green"/>
              </w:rPr>
            </w:pPr>
            <w:r w:rsidRPr="000A5D1D">
              <w:rPr>
                <w:rFonts w:eastAsia="Calibri" w:cs="Times New Roman"/>
                <w:color w:val="000000"/>
                <w:szCs w:val="24"/>
              </w:rPr>
              <w:t xml:space="preserve">2024 IV </w:t>
            </w:r>
            <w:proofErr w:type="spellStart"/>
            <w:r w:rsidRPr="000A5D1D">
              <w:rPr>
                <w:rFonts w:eastAsia="Calibri" w:cs="Times New Roman"/>
                <w:color w:val="000000"/>
                <w:szCs w:val="24"/>
              </w:rPr>
              <w:t>ketv</w:t>
            </w:r>
            <w:proofErr w:type="spellEnd"/>
            <w:r w:rsidRPr="000A5D1D">
              <w:rPr>
                <w:rFonts w:eastAsia="Calibri" w:cs="Times New Roman"/>
                <w:color w:val="000000"/>
                <w:szCs w:val="24"/>
              </w:rPr>
              <w:t>.</w:t>
            </w:r>
          </w:p>
        </w:tc>
        <w:tc>
          <w:tcPr>
            <w:tcW w:w="1276" w:type="dxa"/>
          </w:tcPr>
          <w:p w14:paraId="67286A62" w14:textId="77777777" w:rsidR="00C65F91" w:rsidRPr="002D1A1F" w:rsidRDefault="00C65F91" w:rsidP="002D1A1F">
            <w:pPr>
              <w:jc w:val="both"/>
              <w:rPr>
                <w:rFonts w:eastAsia="Calibri" w:cs="Times New Roman"/>
                <w:color w:val="000000"/>
                <w:szCs w:val="24"/>
              </w:rPr>
            </w:pPr>
          </w:p>
        </w:tc>
        <w:tc>
          <w:tcPr>
            <w:tcW w:w="1134" w:type="dxa"/>
          </w:tcPr>
          <w:p w14:paraId="14862538" w14:textId="77777777" w:rsidR="00C65F91" w:rsidRPr="002D1A1F" w:rsidRDefault="00C65F91" w:rsidP="002D1A1F">
            <w:pPr>
              <w:jc w:val="both"/>
              <w:rPr>
                <w:rFonts w:eastAsia="Calibri" w:cs="Times New Roman"/>
                <w:color w:val="000000"/>
                <w:szCs w:val="24"/>
              </w:rPr>
            </w:pPr>
          </w:p>
        </w:tc>
        <w:tc>
          <w:tcPr>
            <w:tcW w:w="1134" w:type="dxa"/>
          </w:tcPr>
          <w:p w14:paraId="794E933B" w14:textId="77777777" w:rsidR="00C65F91" w:rsidRPr="002D1A1F" w:rsidRDefault="00C65F91" w:rsidP="002D1A1F">
            <w:pPr>
              <w:jc w:val="both"/>
              <w:rPr>
                <w:rFonts w:eastAsia="Calibri" w:cs="Times New Roman"/>
                <w:color w:val="000000"/>
                <w:szCs w:val="24"/>
              </w:rPr>
            </w:pPr>
          </w:p>
        </w:tc>
        <w:tc>
          <w:tcPr>
            <w:tcW w:w="1134" w:type="dxa"/>
          </w:tcPr>
          <w:p w14:paraId="56733FFC" w14:textId="77777777" w:rsidR="00C65F91" w:rsidRPr="002D1A1F" w:rsidRDefault="00C65F91" w:rsidP="002D1A1F">
            <w:pPr>
              <w:jc w:val="both"/>
              <w:rPr>
                <w:rFonts w:eastAsia="Calibri" w:cs="Times New Roman"/>
                <w:color w:val="000000"/>
                <w:szCs w:val="24"/>
              </w:rPr>
            </w:pPr>
          </w:p>
        </w:tc>
      </w:tr>
    </w:tbl>
    <w:p w14:paraId="620FCEBA" w14:textId="77777777" w:rsidR="00670323" w:rsidRPr="00EC3689" w:rsidRDefault="00670323" w:rsidP="00EC3689">
      <w:pPr>
        <w:rPr>
          <w:rFonts w:ascii="Times New Roman" w:hAnsi="Times New Roman" w:cs="Times New Roman"/>
          <w:sz w:val="24"/>
          <w:szCs w:val="24"/>
          <w:lang w:val="lt-LT"/>
        </w:rPr>
      </w:pPr>
    </w:p>
    <w:p w14:paraId="36FEA97D" w14:textId="0B99D4CF" w:rsidR="0024326C" w:rsidRPr="0024326C" w:rsidRDefault="00A656B8" w:rsidP="00A656B8">
      <w:pPr>
        <w:pStyle w:val="Sraopastraipa"/>
        <w:ind w:left="1080"/>
        <w:rPr>
          <w:rFonts w:ascii="Times New Roman" w:hAnsi="Times New Roman" w:cs="Times New Roman"/>
          <w:sz w:val="24"/>
          <w:szCs w:val="24"/>
          <w:lang w:val="lt-LT"/>
        </w:rPr>
      </w:pPr>
      <w:r>
        <w:rPr>
          <w:rFonts w:ascii="Times New Roman" w:hAnsi="Times New Roman" w:cs="Times New Roman"/>
          <w:sz w:val="24"/>
          <w:szCs w:val="24"/>
          <w:lang w:val="lt-LT"/>
        </w:rPr>
        <w:t xml:space="preserve">IV. </w:t>
      </w:r>
      <w:r w:rsidR="001C0A2D">
        <w:rPr>
          <w:rFonts w:ascii="Times New Roman" w:hAnsi="Times New Roman" w:cs="Times New Roman"/>
          <w:sz w:val="24"/>
          <w:szCs w:val="24"/>
          <w:lang w:val="lt-LT"/>
        </w:rPr>
        <w:t>VEIKLOS TVARUMO TIKSLAI</w:t>
      </w:r>
    </w:p>
    <w:tbl>
      <w:tblPr>
        <w:tblStyle w:val="Lentelstinklelis"/>
        <w:tblW w:w="0" w:type="auto"/>
        <w:tblInd w:w="600" w:type="dxa"/>
        <w:tblLook w:val="04A0" w:firstRow="1" w:lastRow="0" w:firstColumn="1" w:lastColumn="0" w:noHBand="0" w:noVBand="1"/>
      </w:tblPr>
      <w:tblGrid>
        <w:gridCol w:w="1600"/>
        <w:gridCol w:w="1626"/>
        <w:gridCol w:w="1839"/>
        <w:gridCol w:w="1229"/>
        <w:gridCol w:w="1534"/>
        <w:gridCol w:w="1534"/>
      </w:tblGrid>
      <w:tr w:rsidR="00C51780" w:rsidRPr="00C51780" w14:paraId="6705B4FA" w14:textId="77777777" w:rsidTr="00C51780">
        <w:tc>
          <w:tcPr>
            <w:tcW w:w="1600" w:type="dxa"/>
          </w:tcPr>
          <w:p w14:paraId="71646DE7" w14:textId="77777777" w:rsidR="00C51780" w:rsidRPr="00C51780" w:rsidRDefault="00C51780" w:rsidP="00C51780">
            <w:pPr>
              <w:rPr>
                <w:rFonts w:ascii="Times New Roman" w:hAnsi="Times New Roman" w:cs="Times New Roman"/>
                <w:iCs/>
                <w:sz w:val="24"/>
                <w:szCs w:val="24"/>
                <w:lang w:val="lt-LT"/>
              </w:rPr>
            </w:pPr>
            <w:r w:rsidRPr="00C51780">
              <w:rPr>
                <w:rFonts w:ascii="Times New Roman" w:hAnsi="Times New Roman" w:cs="Times New Roman"/>
                <w:iCs/>
                <w:sz w:val="24"/>
                <w:szCs w:val="24"/>
                <w:lang w:val="lt-LT"/>
              </w:rPr>
              <w:t>Rodiklis</w:t>
            </w:r>
          </w:p>
        </w:tc>
        <w:tc>
          <w:tcPr>
            <w:tcW w:w="1626" w:type="dxa"/>
          </w:tcPr>
          <w:p w14:paraId="34D935FF" w14:textId="77777777" w:rsidR="00C51780" w:rsidRPr="00C51780" w:rsidRDefault="00C51780" w:rsidP="00C51780">
            <w:pPr>
              <w:rPr>
                <w:rFonts w:ascii="Times New Roman" w:hAnsi="Times New Roman" w:cs="Times New Roman"/>
                <w:iCs/>
                <w:sz w:val="24"/>
                <w:szCs w:val="24"/>
                <w:lang w:val="lt-LT"/>
              </w:rPr>
            </w:pPr>
            <w:r w:rsidRPr="00C51780">
              <w:rPr>
                <w:rFonts w:ascii="Times New Roman" w:hAnsi="Times New Roman" w:cs="Times New Roman"/>
                <w:iCs/>
                <w:sz w:val="24"/>
                <w:szCs w:val="24"/>
                <w:lang w:val="lt-LT"/>
              </w:rPr>
              <w:t>Rodiklio reikšmė</w:t>
            </w:r>
          </w:p>
        </w:tc>
        <w:tc>
          <w:tcPr>
            <w:tcW w:w="1839" w:type="dxa"/>
          </w:tcPr>
          <w:p w14:paraId="0BF953E0" w14:textId="77777777" w:rsidR="00C51780" w:rsidRPr="00C51780" w:rsidRDefault="00C51780" w:rsidP="00C51780">
            <w:pPr>
              <w:rPr>
                <w:rFonts w:ascii="Times New Roman" w:hAnsi="Times New Roman" w:cs="Times New Roman"/>
                <w:iCs/>
                <w:sz w:val="24"/>
                <w:szCs w:val="24"/>
                <w:lang w:val="lt-LT"/>
              </w:rPr>
            </w:pPr>
            <w:r w:rsidRPr="00C51780">
              <w:rPr>
                <w:rFonts w:ascii="Times New Roman" w:hAnsi="Times New Roman" w:cs="Times New Roman"/>
                <w:iCs/>
                <w:sz w:val="24"/>
                <w:szCs w:val="24"/>
                <w:lang w:val="lt-LT"/>
              </w:rPr>
              <w:t>Terminas</w:t>
            </w:r>
          </w:p>
        </w:tc>
        <w:tc>
          <w:tcPr>
            <w:tcW w:w="1229" w:type="dxa"/>
          </w:tcPr>
          <w:p w14:paraId="771382DA" w14:textId="77777777" w:rsidR="00C51780" w:rsidRPr="00C51780" w:rsidRDefault="00C51780" w:rsidP="00C51780">
            <w:pPr>
              <w:rPr>
                <w:rFonts w:ascii="Times New Roman" w:hAnsi="Times New Roman" w:cs="Times New Roman"/>
                <w:iCs/>
                <w:sz w:val="24"/>
                <w:szCs w:val="24"/>
                <w:lang w:val="lt-LT"/>
              </w:rPr>
            </w:pPr>
            <w:r w:rsidRPr="00C51780">
              <w:rPr>
                <w:rFonts w:ascii="Times New Roman" w:hAnsi="Times New Roman" w:cs="Times New Roman"/>
                <w:iCs/>
                <w:sz w:val="24"/>
                <w:szCs w:val="24"/>
                <w:lang w:val="lt-LT"/>
              </w:rPr>
              <w:t>Terminas</w:t>
            </w:r>
          </w:p>
        </w:tc>
        <w:tc>
          <w:tcPr>
            <w:tcW w:w="1534" w:type="dxa"/>
          </w:tcPr>
          <w:p w14:paraId="428FD42A" w14:textId="77777777" w:rsidR="00C51780" w:rsidRPr="00C51780" w:rsidRDefault="00C51780" w:rsidP="00C51780">
            <w:pPr>
              <w:rPr>
                <w:rFonts w:ascii="Times New Roman" w:hAnsi="Times New Roman" w:cs="Times New Roman"/>
                <w:iCs/>
                <w:sz w:val="24"/>
                <w:szCs w:val="24"/>
                <w:lang w:val="lt-LT"/>
              </w:rPr>
            </w:pPr>
            <w:r w:rsidRPr="00C51780">
              <w:rPr>
                <w:rFonts w:ascii="Times New Roman" w:hAnsi="Times New Roman" w:cs="Times New Roman"/>
                <w:iCs/>
                <w:sz w:val="24"/>
                <w:szCs w:val="24"/>
                <w:lang w:val="lt-LT"/>
              </w:rPr>
              <w:t>Terminas</w:t>
            </w:r>
          </w:p>
        </w:tc>
        <w:tc>
          <w:tcPr>
            <w:tcW w:w="1534" w:type="dxa"/>
          </w:tcPr>
          <w:p w14:paraId="22CB298C" w14:textId="77777777" w:rsidR="00C51780" w:rsidRPr="00C51780" w:rsidRDefault="00C51780" w:rsidP="00C51780">
            <w:pPr>
              <w:rPr>
                <w:rFonts w:ascii="Times New Roman" w:hAnsi="Times New Roman" w:cs="Times New Roman"/>
                <w:iCs/>
                <w:sz w:val="24"/>
                <w:szCs w:val="24"/>
                <w:lang w:val="lt-LT"/>
              </w:rPr>
            </w:pPr>
            <w:r w:rsidRPr="00C51780">
              <w:rPr>
                <w:rFonts w:ascii="Times New Roman" w:hAnsi="Times New Roman" w:cs="Times New Roman"/>
                <w:iCs/>
                <w:sz w:val="24"/>
                <w:szCs w:val="24"/>
                <w:lang w:val="lt-LT"/>
              </w:rPr>
              <w:t>Terminas</w:t>
            </w:r>
          </w:p>
        </w:tc>
      </w:tr>
      <w:tr w:rsidR="00C51780" w:rsidRPr="00C51780" w14:paraId="5BA5724E" w14:textId="77777777" w:rsidTr="00C51780">
        <w:tc>
          <w:tcPr>
            <w:tcW w:w="9362" w:type="dxa"/>
            <w:gridSpan w:val="6"/>
          </w:tcPr>
          <w:p w14:paraId="60FCC1D8" w14:textId="77777777" w:rsidR="00C51780" w:rsidRPr="00C51780" w:rsidRDefault="00C51780" w:rsidP="00C51780">
            <w:pPr>
              <w:rPr>
                <w:rFonts w:ascii="Times New Roman" w:hAnsi="Times New Roman" w:cs="Times New Roman"/>
                <w:b/>
                <w:bCs/>
                <w:sz w:val="24"/>
                <w:szCs w:val="24"/>
                <w:lang w:val="lt-LT"/>
              </w:rPr>
            </w:pPr>
            <w:r w:rsidRPr="00C51780">
              <w:rPr>
                <w:rFonts w:ascii="Times New Roman" w:hAnsi="Times New Roman" w:cs="Times New Roman"/>
                <w:b/>
                <w:bCs/>
                <w:sz w:val="24"/>
                <w:szCs w:val="24"/>
                <w:lang w:val="lt-LT"/>
              </w:rPr>
              <w:t>1. Užtikrinti saugias darbuotojų darbo sąlygas</w:t>
            </w:r>
          </w:p>
        </w:tc>
      </w:tr>
      <w:tr w:rsidR="00C51780" w:rsidRPr="00C51780" w14:paraId="2B05F721" w14:textId="77777777" w:rsidTr="00C51780">
        <w:tc>
          <w:tcPr>
            <w:tcW w:w="1600" w:type="dxa"/>
          </w:tcPr>
          <w:p w14:paraId="751EF752" w14:textId="77777777" w:rsidR="00C51780" w:rsidRPr="00C51780" w:rsidRDefault="00C51780" w:rsidP="00C51780">
            <w:pPr>
              <w:rPr>
                <w:rFonts w:ascii="Times New Roman" w:hAnsi="Times New Roman" w:cs="Times New Roman"/>
                <w:iCs/>
                <w:sz w:val="24"/>
                <w:szCs w:val="24"/>
                <w:lang w:val="lt-LT"/>
              </w:rPr>
            </w:pPr>
            <w:r w:rsidRPr="00C51780">
              <w:rPr>
                <w:rFonts w:ascii="Times New Roman" w:hAnsi="Times New Roman" w:cs="Times New Roman"/>
                <w:iCs/>
                <w:sz w:val="24"/>
                <w:szCs w:val="24"/>
                <w:lang w:val="lt-LT"/>
              </w:rPr>
              <w:t>Atnaujinti Muitinės laboratorijos ventiliacijos sistemą, užtikrinant saugias darbo sąlygas laboratorijos darbuotojams ir tinkamas aplinkos sąlygas įrenginiams eksploatuoti</w:t>
            </w:r>
          </w:p>
        </w:tc>
        <w:tc>
          <w:tcPr>
            <w:tcW w:w="1626" w:type="dxa"/>
          </w:tcPr>
          <w:p w14:paraId="4002EE97" w14:textId="0FB2B087" w:rsidR="00C51780" w:rsidRPr="00C51780" w:rsidRDefault="00C51780" w:rsidP="00C51780">
            <w:pPr>
              <w:rPr>
                <w:rFonts w:ascii="Times New Roman" w:hAnsi="Times New Roman" w:cs="Times New Roman"/>
                <w:iCs/>
                <w:sz w:val="24"/>
                <w:szCs w:val="24"/>
                <w:lang w:val="lt-LT"/>
              </w:rPr>
            </w:pPr>
            <w:r w:rsidRPr="00C51780">
              <w:rPr>
                <w:rFonts w:ascii="Times New Roman" w:hAnsi="Times New Roman" w:cs="Times New Roman"/>
                <w:iCs/>
                <w:sz w:val="24"/>
                <w:szCs w:val="24"/>
                <w:lang w:val="lt-LT"/>
              </w:rPr>
              <w:t>Atnaujint</w:t>
            </w:r>
            <w:r>
              <w:rPr>
                <w:rFonts w:ascii="Times New Roman" w:hAnsi="Times New Roman" w:cs="Times New Roman"/>
                <w:iCs/>
                <w:sz w:val="24"/>
                <w:szCs w:val="24"/>
                <w:lang w:val="lt-LT"/>
              </w:rPr>
              <w:t xml:space="preserve">a </w:t>
            </w:r>
            <w:r w:rsidRPr="00C51780">
              <w:rPr>
                <w:rFonts w:ascii="Times New Roman" w:hAnsi="Times New Roman" w:cs="Times New Roman"/>
                <w:iCs/>
                <w:sz w:val="24"/>
                <w:szCs w:val="24"/>
                <w:lang w:val="lt-LT"/>
              </w:rPr>
              <w:t>Muitinės laboratorijos ventiliacijos sistemą,</w:t>
            </w:r>
          </w:p>
        </w:tc>
        <w:tc>
          <w:tcPr>
            <w:tcW w:w="1839" w:type="dxa"/>
          </w:tcPr>
          <w:p w14:paraId="4B87DC9D" w14:textId="77777777" w:rsidR="00C51780" w:rsidRPr="00C51780" w:rsidRDefault="00C51780" w:rsidP="00C51780">
            <w:pPr>
              <w:ind w:firstLine="426"/>
              <w:rPr>
                <w:rFonts w:ascii="Times New Roman" w:hAnsi="Times New Roman" w:cs="Times New Roman"/>
                <w:iCs/>
                <w:sz w:val="24"/>
                <w:szCs w:val="24"/>
                <w:lang w:val="lt-LT"/>
              </w:rPr>
            </w:pPr>
          </w:p>
        </w:tc>
        <w:tc>
          <w:tcPr>
            <w:tcW w:w="1229" w:type="dxa"/>
          </w:tcPr>
          <w:p w14:paraId="362750FF" w14:textId="77777777" w:rsidR="00C51780" w:rsidRPr="00C51780" w:rsidRDefault="00C51780" w:rsidP="00C51780">
            <w:pPr>
              <w:rPr>
                <w:rFonts w:ascii="Times New Roman" w:hAnsi="Times New Roman" w:cs="Times New Roman"/>
                <w:iCs/>
                <w:sz w:val="24"/>
                <w:szCs w:val="24"/>
                <w:lang w:val="lt-LT"/>
              </w:rPr>
            </w:pPr>
            <w:r w:rsidRPr="00C51780">
              <w:rPr>
                <w:rFonts w:ascii="Times New Roman" w:hAnsi="Times New Roman" w:cs="Times New Roman"/>
                <w:iCs/>
                <w:sz w:val="24"/>
                <w:szCs w:val="24"/>
                <w:lang w:val="lt-LT"/>
              </w:rPr>
              <w:t xml:space="preserve">2025 IV </w:t>
            </w:r>
            <w:proofErr w:type="spellStart"/>
            <w:r w:rsidRPr="00C51780">
              <w:rPr>
                <w:rFonts w:ascii="Times New Roman" w:hAnsi="Times New Roman" w:cs="Times New Roman"/>
                <w:iCs/>
                <w:sz w:val="24"/>
                <w:szCs w:val="24"/>
                <w:lang w:val="lt-LT"/>
              </w:rPr>
              <w:t>ketv</w:t>
            </w:r>
            <w:proofErr w:type="spellEnd"/>
            <w:r w:rsidRPr="00C51780">
              <w:rPr>
                <w:rFonts w:ascii="Times New Roman" w:hAnsi="Times New Roman" w:cs="Times New Roman"/>
                <w:iCs/>
                <w:sz w:val="24"/>
                <w:szCs w:val="24"/>
                <w:lang w:val="lt-LT"/>
              </w:rPr>
              <w:t>.</w:t>
            </w:r>
          </w:p>
        </w:tc>
        <w:tc>
          <w:tcPr>
            <w:tcW w:w="1534" w:type="dxa"/>
          </w:tcPr>
          <w:p w14:paraId="1D5B17F0" w14:textId="77777777" w:rsidR="00C51780" w:rsidRPr="00C51780" w:rsidRDefault="00C51780" w:rsidP="00C51780">
            <w:pPr>
              <w:ind w:firstLine="426"/>
              <w:rPr>
                <w:rFonts w:ascii="Times New Roman" w:hAnsi="Times New Roman" w:cs="Times New Roman"/>
                <w:iCs/>
                <w:sz w:val="24"/>
                <w:szCs w:val="24"/>
                <w:lang w:val="lt-LT"/>
              </w:rPr>
            </w:pPr>
          </w:p>
        </w:tc>
        <w:tc>
          <w:tcPr>
            <w:tcW w:w="1534" w:type="dxa"/>
          </w:tcPr>
          <w:p w14:paraId="4AB208BC" w14:textId="77777777" w:rsidR="00C51780" w:rsidRPr="00C51780" w:rsidRDefault="00C51780" w:rsidP="00C51780">
            <w:pPr>
              <w:ind w:firstLine="426"/>
              <w:rPr>
                <w:rFonts w:ascii="Times New Roman" w:hAnsi="Times New Roman" w:cs="Times New Roman"/>
                <w:iCs/>
                <w:sz w:val="24"/>
                <w:szCs w:val="24"/>
                <w:lang w:val="lt-LT"/>
              </w:rPr>
            </w:pPr>
          </w:p>
        </w:tc>
      </w:tr>
      <w:tr w:rsidR="00C51780" w:rsidRPr="00C51780" w14:paraId="0A6B003D" w14:textId="77777777" w:rsidTr="00C51780">
        <w:tc>
          <w:tcPr>
            <w:tcW w:w="9362" w:type="dxa"/>
            <w:gridSpan w:val="6"/>
          </w:tcPr>
          <w:p w14:paraId="1EE676DF" w14:textId="77777777" w:rsidR="00C51780" w:rsidRPr="00C51780" w:rsidRDefault="00C51780" w:rsidP="00C51780">
            <w:pPr>
              <w:rPr>
                <w:rFonts w:ascii="Times New Roman" w:hAnsi="Times New Roman" w:cs="Times New Roman"/>
                <w:sz w:val="24"/>
                <w:szCs w:val="24"/>
                <w:lang w:val="lt-LT"/>
              </w:rPr>
            </w:pPr>
            <w:r w:rsidRPr="00C51780">
              <w:rPr>
                <w:rFonts w:ascii="Times New Roman" w:hAnsi="Times New Roman" w:cs="Times New Roman"/>
                <w:b/>
                <w:bCs/>
                <w:sz w:val="24"/>
                <w:szCs w:val="24"/>
                <w:lang w:val="lt-LT"/>
              </w:rPr>
              <w:t>2. Skaitmenizavimas</w:t>
            </w:r>
          </w:p>
        </w:tc>
      </w:tr>
      <w:tr w:rsidR="000A5D1D" w:rsidRPr="00C51780" w14:paraId="25313CD1" w14:textId="77777777" w:rsidTr="00C51780">
        <w:tc>
          <w:tcPr>
            <w:tcW w:w="1600" w:type="dxa"/>
            <w:vMerge w:val="restart"/>
          </w:tcPr>
          <w:p w14:paraId="45F4D29E" w14:textId="77777777" w:rsidR="000A5D1D" w:rsidRPr="00C51780" w:rsidRDefault="000A5D1D" w:rsidP="00C51780">
            <w:pPr>
              <w:rPr>
                <w:rFonts w:ascii="Times New Roman" w:hAnsi="Times New Roman" w:cs="Times New Roman"/>
                <w:iCs/>
                <w:sz w:val="24"/>
                <w:szCs w:val="24"/>
                <w:highlight w:val="yellow"/>
                <w:lang w:val="lt-LT"/>
              </w:rPr>
            </w:pPr>
            <w:r w:rsidRPr="000A5D1D">
              <w:rPr>
                <w:rFonts w:ascii="Times New Roman" w:hAnsi="Times New Roman" w:cs="Times New Roman"/>
                <w:iCs/>
                <w:sz w:val="24"/>
                <w:szCs w:val="24"/>
                <w:lang w:val="lt-LT"/>
              </w:rPr>
              <w:t>Mažinti popierinių dokumentų naudojimą įstaigos veikloje</w:t>
            </w:r>
          </w:p>
        </w:tc>
        <w:tc>
          <w:tcPr>
            <w:tcW w:w="1626" w:type="dxa"/>
          </w:tcPr>
          <w:p w14:paraId="5C40C28D" w14:textId="1AD00C65" w:rsidR="000A5D1D" w:rsidRPr="000A5D1D" w:rsidRDefault="000A5D1D" w:rsidP="00C51780">
            <w:pPr>
              <w:rPr>
                <w:rFonts w:ascii="Times New Roman" w:hAnsi="Times New Roman" w:cs="Times New Roman"/>
                <w:iCs/>
                <w:sz w:val="24"/>
                <w:szCs w:val="24"/>
                <w:lang w:val="lt-LT"/>
              </w:rPr>
            </w:pPr>
            <w:r w:rsidRPr="000A5D1D">
              <w:rPr>
                <w:rFonts w:ascii="Times New Roman" w:hAnsi="Times New Roman" w:cs="Times New Roman"/>
                <w:iCs/>
                <w:sz w:val="24"/>
                <w:szCs w:val="24"/>
                <w:lang w:val="lt-LT"/>
              </w:rPr>
              <w:t>Peržiūrėti ir pakeisti Muitinės departamento generalinio direktoriaus įsakymai, vidiniai teisės aktai dėl popierinių dokumentų naudojimo</w:t>
            </w:r>
          </w:p>
        </w:tc>
        <w:tc>
          <w:tcPr>
            <w:tcW w:w="1839" w:type="dxa"/>
          </w:tcPr>
          <w:p w14:paraId="3B747C2E" w14:textId="77777777" w:rsidR="000A5D1D" w:rsidRPr="00C51780" w:rsidRDefault="000A5D1D" w:rsidP="00C51780">
            <w:pPr>
              <w:rPr>
                <w:rFonts w:ascii="Times New Roman" w:hAnsi="Times New Roman" w:cs="Times New Roman"/>
                <w:iCs/>
                <w:sz w:val="24"/>
                <w:szCs w:val="24"/>
                <w:highlight w:val="yellow"/>
                <w:lang w:val="lt-LT"/>
              </w:rPr>
            </w:pPr>
            <w:r w:rsidRPr="000A5D1D">
              <w:rPr>
                <w:rFonts w:ascii="Times New Roman" w:hAnsi="Times New Roman" w:cs="Times New Roman"/>
                <w:iCs/>
                <w:sz w:val="24"/>
                <w:szCs w:val="24"/>
                <w:lang w:val="lt-LT"/>
              </w:rPr>
              <w:t xml:space="preserve">2024 IV </w:t>
            </w:r>
            <w:proofErr w:type="spellStart"/>
            <w:r w:rsidRPr="000A5D1D">
              <w:rPr>
                <w:rFonts w:ascii="Times New Roman" w:hAnsi="Times New Roman" w:cs="Times New Roman"/>
                <w:iCs/>
                <w:sz w:val="24"/>
                <w:szCs w:val="24"/>
                <w:lang w:val="lt-LT"/>
              </w:rPr>
              <w:t>ketv</w:t>
            </w:r>
            <w:proofErr w:type="spellEnd"/>
            <w:r w:rsidRPr="000A5D1D">
              <w:rPr>
                <w:rFonts w:ascii="Times New Roman" w:hAnsi="Times New Roman" w:cs="Times New Roman"/>
                <w:iCs/>
                <w:sz w:val="24"/>
                <w:szCs w:val="24"/>
                <w:lang w:val="lt-LT"/>
              </w:rPr>
              <w:t>.</w:t>
            </w:r>
          </w:p>
        </w:tc>
        <w:tc>
          <w:tcPr>
            <w:tcW w:w="1229" w:type="dxa"/>
          </w:tcPr>
          <w:p w14:paraId="7ECCCC32" w14:textId="77777777" w:rsidR="000A5D1D" w:rsidRPr="00C51780" w:rsidRDefault="000A5D1D" w:rsidP="00C51780">
            <w:pPr>
              <w:ind w:firstLine="426"/>
              <w:rPr>
                <w:rFonts w:ascii="Times New Roman" w:hAnsi="Times New Roman" w:cs="Times New Roman"/>
                <w:iCs/>
                <w:sz w:val="24"/>
                <w:szCs w:val="24"/>
                <w:lang w:val="lt-LT"/>
              </w:rPr>
            </w:pPr>
          </w:p>
        </w:tc>
        <w:tc>
          <w:tcPr>
            <w:tcW w:w="1534" w:type="dxa"/>
          </w:tcPr>
          <w:p w14:paraId="11C2920D" w14:textId="77777777" w:rsidR="000A5D1D" w:rsidRPr="00C51780" w:rsidRDefault="000A5D1D" w:rsidP="00C51780">
            <w:pPr>
              <w:ind w:firstLine="426"/>
              <w:rPr>
                <w:rFonts w:ascii="Times New Roman" w:hAnsi="Times New Roman" w:cs="Times New Roman"/>
                <w:iCs/>
                <w:sz w:val="24"/>
                <w:szCs w:val="24"/>
                <w:lang w:val="lt-LT"/>
              </w:rPr>
            </w:pPr>
          </w:p>
        </w:tc>
        <w:tc>
          <w:tcPr>
            <w:tcW w:w="1534" w:type="dxa"/>
          </w:tcPr>
          <w:p w14:paraId="7069C82C" w14:textId="77777777" w:rsidR="000A5D1D" w:rsidRPr="00C51780" w:rsidRDefault="000A5D1D" w:rsidP="00C51780">
            <w:pPr>
              <w:ind w:firstLine="426"/>
              <w:rPr>
                <w:rFonts w:ascii="Times New Roman" w:hAnsi="Times New Roman" w:cs="Times New Roman"/>
                <w:iCs/>
                <w:sz w:val="24"/>
                <w:szCs w:val="24"/>
                <w:lang w:val="lt-LT"/>
              </w:rPr>
            </w:pPr>
          </w:p>
        </w:tc>
      </w:tr>
      <w:tr w:rsidR="000A5D1D" w:rsidRPr="00C51780" w14:paraId="0FFFDEC9" w14:textId="77777777" w:rsidTr="00C51780">
        <w:tc>
          <w:tcPr>
            <w:tcW w:w="1600" w:type="dxa"/>
            <w:vMerge/>
          </w:tcPr>
          <w:p w14:paraId="6CF6E914" w14:textId="77777777" w:rsidR="000A5D1D" w:rsidRPr="00C51780" w:rsidRDefault="000A5D1D" w:rsidP="00C51780">
            <w:pPr>
              <w:ind w:firstLine="426"/>
              <w:rPr>
                <w:rFonts w:ascii="Times New Roman" w:hAnsi="Times New Roman" w:cs="Times New Roman"/>
                <w:iCs/>
                <w:sz w:val="24"/>
                <w:szCs w:val="24"/>
                <w:highlight w:val="yellow"/>
                <w:lang w:val="lt-LT"/>
              </w:rPr>
            </w:pPr>
          </w:p>
        </w:tc>
        <w:tc>
          <w:tcPr>
            <w:tcW w:w="1626" w:type="dxa"/>
          </w:tcPr>
          <w:p w14:paraId="57588539" w14:textId="77777777" w:rsidR="000A5D1D" w:rsidRPr="00C51780" w:rsidRDefault="000A5D1D" w:rsidP="00C51780">
            <w:pPr>
              <w:rPr>
                <w:rFonts w:ascii="Times New Roman" w:hAnsi="Times New Roman" w:cs="Times New Roman"/>
                <w:iCs/>
                <w:sz w:val="24"/>
                <w:szCs w:val="24"/>
                <w:highlight w:val="yellow"/>
                <w:lang w:val="lt-LT"/>
              </w:rPr>
            </w:pPr>
            <w:r w:rsidRPr="000A5D1D">
              <w:rPr>
                <w:rFonts w:ascii="Times New Roman" w:hAnsi="Times New Roman" w:cs="Times New Roman"/>
                <w:iCs/>
                <w:sz w:val="24"/>
                <w:szCs w:val="24"/>
                <w:lang w:val="lt-LT"/>
              </w:rPr>
              <w:t xml:space="preserve">Popierinių dokumentų apimties </w:t>
            </w:r>
            <w:r w:rsidRPr="000A5D1D">
              <w:rPr>
                <w:rFonts w:ascii="Times New Roman" w:hAnsi="Times New Roman" w:cs="Times New Roman"/>
                <w:iCs/>
                <w:sz w:val="24"/>
                <w:szCs w:val="24"/>
                <w:lang w:val="lt-LT"/>
              </w:rPr>
              <w:lastRenderedPageBreak/>
              <w:t>mažėjimas 20 proc.</w:t>
            </w:r>
          </w:p>
        </w:tc>
        <w:tc>
          <w:tcPr>
            <w:tcW w:w="1839" w:type="dxa"/>
          </w:tcPr>
          <w:p w14:paraId="79FBB757" w14:textId="77777777" w:rsidR="000A5D1D" w:rsidRPr="00C51780" w:rsidRDefault="000A5D1D" w:rsidP="00C51780">
            <w:pPr>
              <w:rPr>
                <w:rFonts w:ascii="Times New Roman" w:hAnsi="Times New Roman" w:cs="Times New Roman"/>
                <w:iCs/>
                <w:sz w:val="24"/>
                <w:szCs w:val="24"/>
                <w:highlight w:val="yellow"/>
                <w:lang w:val="lt-LT"/>
              </w:rPr>
            </w:pPr>
            <w:r w:rsidRPr="000A5D1D">
              <w:rPr>
                <w:rFonts w:ascii="Times New Roman" w:hAnsi="Times New Roman" w:cs="Times New Roman"/>
                <w:iCs/>
                <w:sz w:val="24"/>
                <w:szCs w:val="24"/>
                <w:lang w:val="lt-LT"/>
              </w:rPr>
              <w:lastRenderedPageBreak/>
              <w:t xml:space="preserve">2024 IV </w:t>
            </w:r>
            <w:proofErr w:type="spellStart"/>
            <w:r w:rsidRPr="000A5D1D">
              <w:rPr>
                <w:rFonts w:ascii="Times New Roman" w:hAnsi="Times New Roman" w:cs="Times New Roman"/>
                <w:iCs/>
                <w:sz w:val="24"/>
                <w:szCs w:val="24"/>
                <w:lang w:val="lt-LT"/>
              </w:rPr>
              <w:t>ketv</w:t>
            </w:r>
            <w:proofErr w:type="spellEnd"/>
            <w:r w:rsidRPr="000A5D1D">
              <w:rPr>
                <w:rFonts w:ascii="Times New Roman" w:hAnsi="Times New Roman" w:cs="Times New Roman"/>
                <w:iCs/>
                <w:sz w:val="24"/>
                <w:szCs w:val="24"/>
                <w:lang w:val="lt-LT"/>
              </w:rPr>
              <w:t>.</w:t>
            </w:r>
          </w:p>
        </w:tc>
        <w:tc>
          <w:tcPr>
            <w:tcW w:w="1229" w:type="dxa"/>
          </w:tcPr>
          <w:p w14:paraId="48B58A6D" w14:textId="77777777" w:rsidR="000A5D1D" w:rsidRPr="00C51780" w:rsidRDefault="000A5D1D" w:rsidP="00C51780">
            <w:pPr>
              <w:ind w:firstLine="426"/>
              <w:rPr>
                <w:rFonts w:ascii="Times New Roman" w:hAnsi="Times New Roman" w:cs="Times New Roman"/>
                <w:iCs/>
                <w:sz w:val="24"/>
                <w:szCs w:val="24"/>
                <w:lang w:val="lt-LT"/>
              </w:rPr>
            </w:pPr>
          </w:p>
        </w:tc>
        <w:tc>
          <w:tcPr>
            <w:tcW w:w="1534" w:type="dxa"/>
          </w:tcPr>
          <w:p w14:paraId="778C6152" w14:textId="77777777" w:rsidR="000A5D1D" w:rsidRPr="00C51780" w:rsidRDefault="000A5D1D" w:rsidP="00C51780">
            <w:pPr>
              <w:ind w:firstLine="426"/>
              <w:rPr>
                <w:rFonts w:ascii="Times New Roman" w:hAnsi="Times New Roman" w:cs="Times New Roman"/>
                <w:iCs/>
                <w:sz w:val="24"/>
                <w:szCs w:val="24"/>
                <w:lang w:val="lt-LT"/>
              </w:rPr>
            </w:pPr>
          </w:p>
        </w:tc>
        <w:tc>
          <w:tcPr>
            <w:tcW w:w="1534" w:type="dxa"/>
          </w:tcPr>
          <w:p w14:paraId="5F7E6BF1" w14:textId="77777777" w:rsidR="000A5D1D" w:rsidRPr="00C51780" w:rsidRDefault="000A5D1D" w:rsidP="00C51780">
            <w:pPr>
              <w:ind w:firstLine="426"/>
              <w:rPr>
                <w:rFonts w:ascii="Times New Roman" w:hAnsi="Times New Roman" w:cs="Times New Roman"/>
                <w:iCs/>
                <w:sz w:val="24"/>
                <w:szCs w:val="24"/>
                <w:lang w:val="lt-LT"/>
              </w:rPr>
            </w:pPr>
          </w:p>
        </w:tc>
      </w:tr>
    </w:tbl>
    <w:p w14:paraId="4123AE28" w14:textId="77777777" w:rsidR="00C51780" w:rsidRPr="00C51780" w:rsidRDefault="00C51780" w:rsidP="00C51780">
      <w:pPr>
        <w:rPr>
          <w:rFonts w:ascii="Times New Roman" w:hAnsi="Times New Roman" w:cs="Times New Roman"/>
          <w:iCs/>
          <w:sz w:val="24"/>
          <w:szCs w:val="24"/>
          <w:lang w:val="lt-LT"/>
        </w:rPr>
      </w:pPr>
    </w:p>
    <w:p w14:paraId="08E1EAB3" w14:textId="77777777" w:rsidR="00151669" w:rsidRDefault="00151669" w:rsidP="00151669">
      <w:pPr>
        <w:rPr>
          <w:rFonts w:ascii="Times New Roman" w:hAnsi="Times New Roman" w:cs="Times New Roman"/>
          <w:sz w:val="24"/>
          <w:szCs w:val="24"/>
          <w:lang w:val="lt-LT"/>
        </w:rPr>
      </w:pPr>
    </w:p>
    <w:p w14:paraId="76B3B5BA" w14:textId="1CA6F98E" w:rsidR="00D35819" w:rsidRPr="00D35819" w:rsidRDefault="00A656B8" w:rsidP="00A656B8">
      <w:pPr>
        <w:pStyle w:val="Sraopastraipa"/>
        <w:ind w:left="1080"/>
        <w:rPr>
          <w:rFonts w:ascii="Times New Roman" w:hAnsi="Times New Roman" w:cs="Times New Roman"/>
          <w:sz w:val="24"/>
          <w:szCs w:val="24"/>
          <w:lang w:val="lt-LT"/>
        </w:rPr>
      </w:pPr>
      <w:r>
        <w:rPr>
          <w:rFonts w:ascii="Times New Roman" w:hAnsi="Times New Roman" w:cs="Times New Roman"/>
          <w:sz w:val="24"/>
          <w:szCs w:val="24"/>
          <w:lang w:val="lt-LT"/>
        </w:rPr>
        <w:t xml:space="preserve">V. </w:t>
      </w:r>
      <w:r w:rsidR="00D35819" w:rsidRPr="00D35819">
        <w:rPr>
          <w:rFonts w:ascii="Times New Roman" w:hAnsi="Times New Roman" w:cs="Times New Roman"/>
          <w:sz w:val="24"/>
          <w:szCs w:val="24"/>
          <w:lang w:val="lt-LT"/>
        </w:rPr>
        <w:t>RIZIKŲ VALDYMAS</w:t>
      </w:r>
    </w:p>
    <w:tbl>
      <w:tblPr>
        <w:tblStyle w:val="Lentelstinklelis"/>
        <w:tblW w:w="0" w:type="auto"/>
        <w:tblInd w:w="360" w:type="dxa"/>
        <w:tblLook w:val="04A0" w:firstRow="1" w:lastRow="0" w:firstColumn="1" w:lastColumn="0" w:noHBand="0" w:noVBand="1"/>
      </w:tblPr>
      <w:tblGrid>
        <w:gridCol w:w="8990"/>
      </w:tblGrid>
      <w:tr w:rsidR="00151669" w:rsidRPr="00781E55" w14:paraId="165C3F21" w14:textId="77777777" w:rsidTr="00BD4522">
        <w:trPr>
          <w:trHeight w:val="1555"/>
        </w:trPr>
        <w:tc>
          <w:tcPr>
            <w:tcW w:w="8990" w:type="dxa"/>
          </w:tcPr>
          <w:p w14:paraId="435EE8F0" w14:textId="77777777" w:rsidR="005E334C" w:rsidRDefault="005E334C" w:rsidP="005E334C">
            <w:pPr>
              <w:rPr>
                <w:rFonts w:ascii="Times New Roman" w:hAnsi="Times New Roman" w:cs="Times New Roman"/>
                <w:iCs/>
                <w:sz w:val="24"/>
                <w:szCs w:val="24"/>
                <w:lang w:val="lt-LT"/>
              </w:rPr>
            </w:pPr>
            <w:r w:rsidRPr="005E334C">
              <w:rPr>
                <w:rFonts w:ascii="Times New Roman" w:hAnsi="Times New Roman" w:cs="Times New Roman"/>
                <w:iCs/>
                <w:sz w:val="24"/>
                <w:szCs w:val="24"/>
                <w:lang w:val="lt-LT"/>
              </w:rPr>
              <w:t>Nustatomi šie</w:t>
            </w:r>
            <w:r w:rsidRPr="005E334C">
              <w:rPr>
                <w:lang w:val="lt-LT"/>
              </w:rPr>
              <w:t xml:space="preserve"> i</w:t>
            </w:r>
            <w:r w:rsidRPr="005E334C">
              <w:rPr>
                <w:rFonts w:ascii="Times New Roman" w:hAnsi="Times New Roman" w:cs="Times New Roman"/>
                <w:iCs/>
                <w:sz w:val="24"/>
                <w:szCs w:val="24"/>
                <w:lang w:val="lt-LT"/>
              </w:rPr>
              <w:t>šoriniai ir (ar) vidiniai</w:t>
            </w:r>
            <w:r>
              <w:rPr>
                <w:rFonts w:ascii="Times New Roman" w:hAnsi="Times New Roman" w:cs="Times New Roman"/>
                <w:iCs/>
                <w:sz w:val="24"/>
                <w:szCs w:val="24"/>
                <w:lang w:val="lt-LT"/>
              </w:rPr>
              <w:t xml:space="preserve"> </w:t>
            </w:r>
            <w:r w:rsidRPr="005E334C">
              <w:rPr>
                <w:rFonts w:ascii="Times New Roman" w:hAnsi="Times New Roman" w:cs="Times New Roman"/>
                <w:iCs/>
                <w:sz w:val="24"/>
                <w:szCs w:val="24"/>
                <w:lang w:val="lt-LT"/>
              </w:rPr>
              <w:t>rizikos veiksnia</w:t>
            </w:r>
            <w:r>
              <w:rPr>
                <w:rFonts w:ascii="Times New Roman" w:hAnsi="Times New Roman" w:cs="Times New Roman"/>
                <w:iCs/>
                <w:sz w:val="24"/>
                <w:szCs w:val="24"/>
                <w:lang w:val="lt-LT"/>
              </w:rPr>
              <w:t xml:space="preserve">i, </w:t>
            </w:r>
            <w:r w:rsidRPr="005E334C">
              <w:rPr>
                <w:rFonts w:ascii="Times New Roman" w:hAnsi="Times New Roman" w:cs="Times New Roman"/>
                <w:iCs/>
                <w:sz w:val="24"/>
                <w:szCs w:val="24"/>
                <w:lang w:val="lt-LT"/>
              </w:rPr>
              <w:t>dėl kurių gali būti nepasiekti  (arba iš dalies pasiekti) šiame Susitarime nurodyti veiklos tikslai:</w:t>
            </w:r>
          </w:p>
          <w:p w14:paraId="720EADE8" w14:textId="79B5E3D7" w:rsidR="009B1C7B" w:rsidRPr="009B1C7B" w:rsidRDefault="009B1C7B" w:rsidP="009B1C7B">
            <w:pPr>
              <w:rPr>
                <w:rFonts w:ascii="Times New Roman" w:hAnsi="Times New Roman" w:cs="Times New Roman"/>
                <w:iCs/>
                <w:sz w:val="24"/>
                <w:szCs w:val="24"/>
                <w:lang w:val="lt-LT"/>
              </w:rPr>
            </w:pPr>
            <w:r>
              <w:rPr>
                <w:rFonts w:ascii="Times New Roman" w:hAnsi="Times New Roman" w:cs="Times New Roman"/>
                <w:iCs/>
                <w:sz w:val="24"/>
                <w:szCs w:val="24"/>
                <w:lang w:val="lt-LT"/>
              </w:rPr>
              <w:t>-</w:t>
            </w:r>
            <w:r w:rsidRPr="009B1C7B">
              <w:rPr>
                <w:rFonts w:ascii="Times New Roman" w:hAnsi="Times New Roman" w:cs="Times New Roman"/>
                <w:iCs/>
                <w:sz w:val="24"/>
                <w:szCs w:val="24"/>
                <w:lang w:val="lt-LT"/>
              </w:rPr>
              <w:t>Neskiriami ištekliai veiklos tikslams pasiekti;</w:t>
            </w:r>
          </w:p>
          <w:p w14:paraId="3832982A" w14:textId="58DF3C09" w:rsidR="009B1C7B" w:rsidRPr="009B1C7B" w:rsidRDefault="009B1C7B" w:rsidP="009B1C7B">
            <w:pPr>
              <w:rPr>
                <w:rFonts w:ascii="Times New Roman" w:hAnsi="Times New Roman" w:cs="Times New Roman"/>
                <w:iCs/>
                <w:sz w:val="24"/>
                <w:szCs w:val="24"/>
                <w:lang w:val="lt-LT"/>
              </w:rPr>
            </w:pPr>
            <w:r>
              <w:rPr>
                <w:rFonts w:ascii="Times New Roman" w:hAnsi="Times New Roman" w:cs="Times New Roman"/>
                <w:iCs/>
                <w:sz w:val="24"/>
                <w:szCs w:val="24"/>
                <w:lang w:val="lt-LT"/>
              </w:rPr>
              <w:t>-</w:t>
            </w:r>
            <w:r w:rsidRPr="009B1C7B">
              <w:rPr>
                <w:rFonts w:ascii="Times New Roman" w:hAnsi="Times New Roman" w:cs="Times New Roman"/>
                <w:iCs/>
                <w:sz w:val="24"/>
                <w:szCs w:val="24"/>
                <w:lang w:val="lt-LT"/>
              </w:rPr>
              <w:t>Pasikeitęs teisinis veiklos reglamentavimas;</w:t>
            </w:r>
          </w:p>
          <w:p w14:paraId="080458E8" w14:textId="637ADE76" w:rsidR="009B1C7B" w:rsidRPr="000A5D1D" w:rsidRDefault="009B1C7B" w:rsidP="009B1C7B">
            <w:pPr>
              <w:rPr>
                <w:rFonts w:ascii="Times New Roman" w:hAnsi="Times New Roman" w:cs="Times New Roman"/>
                <w:iCs/>
                <w:sz w:val="24"/>
                <w:szCs w:val="24"/>
                <w:lang w:val="lt-LT"/>
              </w:rPr>
            </w:pPr>
            <w:r w:rsidRPr="000A5D1D">
              <w:rPr>
                <w:rFonts w:ascii="Times New Roman" w:hAnsi="Times New Roman" w:cs="Times New Roman"/>
                <w:iCs/>
                <w:sz w:val="24"/>
                <w:szCs w:val="24"/>
                <w:lang w:val="lt-LT"/>
              </w:rPr>
              <w:t>-Naujų funkcijų delegavimas;</w:t>
            </w:r>
          </w:p>
          <w:p w14:paraId="5C67D4D1" w14:textId="6F4B3E4C" w:rsidR="009B1C7B" w:rsidRPr="005E334C" w:rsidRDefault="009B1C7B" w:rsidP="009B1C7B">
            <w:pPr>
              <w:rPr>
                <w:rFonts w:ascii="Times New Roman" w:hAnsi="Times New Roman" w:cs="Times New Roman"/>
                <w:iCs/>
                <w:sz w:val="24"/>
                <w:szCs w:val="24"/>
                <w:lang w:val="lt-LT"/>
              </w:rPr>
            </w:pPr>
            <w:r w:rsidRPr="000A5D1D">
              <w:rPr>
                <w:rFonts w:ascii="Times New Roman" w:hAnsi="Times New Roman" w:cs="Times New Roman"/>
                <w:iCs/>
                <w:sz w:val="24"/>
                <w:szCs w:val="24"/>
                <w:lang w:val="lt-LT"/>
              </w:rPr>
              <w:t>-Neplanuoti pavedimai.</w:t>
            </w:r>
          </w:p>
        </w:tc>
      </w:tr>
    </w:tbl>
    <w:p w14:paraId="1BE46448" w14:textId="77777777" w:rsidR="00D35819" w:rsidRPr="00151669" w:rsidRDefault="00D35819" w:rsidP="00DB430D">
      <w:pPr>
        <w:rPr>
          <w:rFonts w:ascii="Times New Roman" w:hAnsi="Times New Roman" w:cs="Times New Roman"/>
          <w:sz w:val="24"/>
          <w:szCs w:val="24"/>
          <w:lang w:val="lt-LT"/>
        </w:rPr>
      </w:pPr>
    </w:p>
    <w:p w14:paraId="23E7E8A3" w14:textId="77777777" w:rsidR="00D35819" w:rsidRPr="00151669" w:rsidRDefault="00D35819" w:rsidP="00DB430D">
      <w:pPr>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3582"/>
        <w:gridCol w:w="281"/>
        <w:gridCol w:w="1666"/>
        <w:gridCol w:w="281"/>
        <w:gridCol w:w="3546"/>
      </w:tblGrid>
      <w:tr w:rsidR="00DB430D" w:rsidRPr="00781E55" w14:paraId="31914D76" w14:textId="77777777" w:rsidTr="00BD26A5">
        <w:tc>
          <w:tcPr>
            <w:tcW w:w="3582" w:type="dxa"/>
            <w:tcBorders>
              <w:top w:val="nil"/>
              <w:left w:val="nil"/>
              <w:bottom w:val="single" w:sz="4" w:space="0" w:color="auto"/>
              <w:right w:val="nil"/>
            </w:tcBorders>
          </w:tcPr>
          <w:p w14:paraId="12D48953" w14:textId="77777777" w:rsidR="00DB430D" w:rsidRPr="00670DEB" w:rsidRDefault="00DB430D" w:rsidP="00EC60F3">
            <w:pPr>
              <w:jc w:val="center"/>
              <w:rPr>
                <w:rFonts w:ascii="Times New Roman" w:hAnsi="Times New Roman" w:cs="Times New Roman"/>
                <w:color w:val="000000"/>
                <w:lang w:val="lt-LT"/>
              </w:rPr>
            </w:pPr>
          </w:p>
        </w:tc>
        <w:tc>
          <w:tcPr>
            <w:tcW w:w="281" w:type="dxa"/>
            <w:tcBorders>
              <w:top w:val="nil"/>
              <w:left w:val="nil"/>
              <w:bottom w:val="nil"/>
              <w:right w:val="nil"/>
            </w:tcBorders>
          </w:tcPr>
          <w:p w14:paraId="7EA4F7A6" w14:textId="77777777" w:rsidR="00DB430D" w:rsidRPr="00670DEB" w:rsidRDefault="00DB430D" w:rsidP="00EC60F3">
            <w:pPr>
              <w:jc w:val="both"/>
              <w:rPr>
                <w:rFonts w:ascii="Times New Roman" w:hAnsi="Times New Roman" w:cs="Times New Roman"/>
                <w:color w:val="000000"/>
                <w:lang w:val="lt-LT"/>
              </w:rPr>
            </w:pPr>
          </w:p>
        </w:tc>
        <w:tc>
          <w:tcPr>
            <w:tcW w:w="1666" w:type="dxa"/>
            <w:tcBorders>
              <w:top w:val="nil"/>
              <w:left w:val="nil"/>
              <w:bottom w:val="nil"/>
              <w:right w:val="nil"/>
            </w:tcBorders>
          </w:tcPr>
          <w:p w14:paraId="19BD903C" w14:textId="77777777" w:rsidR="00DB430D" w:rsidRPr="00670DEB" w:rsidRDefault="00DB430D" w:rsidP="00EC60F3">
            <w:pPr>
              <w:jc w:val="both"/>
              <w:rPr>
                <w:rFonts w:ascii="Times New Roman" w:hAnsi="Times New Roman" w:cs="Times New Roman"/>
                <w:color w:val="000000"/>
                <w:lang w:val="lt-LT"/>
              </w:rPr>
            </w:pPr>
          </w:p>
        </w:tc>
        <w:tc>
          <w:tcPr>
            <w:tcW w:w="281" w:type="dxa"/>
            <w:tcBorders>
              <w:top w:val="nil"/>
              <w:left w:val="nil"/>
              <w:bottom w:val="nil"/>
              <w:right w:val="nil"/>
            </w:tcBorders>
          </w:tcPr>
          <w:p w14:paraId="1852FF7A" w14:textId="77777777" w:rsidR="00DB430D" w:rsidRPr="00670DEB" w:rsidRDefault="00DB430D" w:rsidP="00EC60F3">
            <w:pPr>
              <w:jc w:val="both"/>
              <w:rPr>
                <w:rFonts w:ascii="Times New Roman" w:hAnsi="Times New Roman" w:cs="Times New Roman"/>
                <w:color w:val="000000"/>
                <w:lang w:val="lt-LT"/>
              </w:rPr>
            </w:pPr>
          </w:p>
        </w:tc>
        <w:tc>
          <w:tcPr>
            <w:tcW w:w="3546" w:type="dxa"/>
            <w:tcBorders>
              <w:top w:val="nil"/>
              <w:left w:val="nil"/>
              <w:bottom w:val="single" w:sz="4" w:space="0" w:color="auto"/>
              <w:right w:val="nil"/>
            </w:tcBorders>
          </w:tcPr>
          <w:p w14:paraId="431FAF35" w14:textId="77777777" w:rsidR="00DB430D" w:rsidRPr="00670DEB" w:rsidRDefault="00DB430D" w:rsidP="00EC60F3">
            <w:pPr>
              <w:jc w:val="center"/>
              <w:rPr>
                <w:rFonts w:ascii="Times New Roman" w:hAnsi="Times New Roman" w:cs="Times New Roman"/>
                <w:color w:val="000000"/>
                <w:lang w:val="lt-LT"/>
              </w:rPr>
            </w:pPr>
          </w:p>
        </w:tc>
      </w:tr>
      <w:tr w:rsidR="00DB430D" w:rsidRPr="00670DEB" w14:paraId="65F2164C" w14:textId="77777777" w:rsidTr="00BD26A5">
        <w:trPr>
          <w:trHeight w:val="571"/>
        </w:trPr>
        <w:tc>
          <w:tcPr>
            <w:tcW w:w="3582" w:type="dxa"/>
            <w:tcBorders>
              <w:top w:val="nil"/>
              <w:left w:val="nil"/>
              <w:bottom w:val="single" w:sz="4" w:space="0" w:color="auto"/>
              <w:right w:val="nil"/>
            </w:tcBorders>
          </w:tcPr>
          <w:p w14:paraId="5F2DA47B" w14:textId="750BDB9F" w:rsidR="00DB430D" w:rsidRDefault="00DB430D" w:rsidP="009B1C7B">
            <w:pPr>
              <w:shd w:val="clear" w:color="auto" w:fill="FFFFFF"/>
              <w:spacing w:line="259" w:lineRule="auto"/>
              <w:jc w:val="center"/>
              <w:textAlignment w:val="baseline"/>
              <w:rPr>
                <w:rFonts w:ascii="Times New Roman" w:hAnsi="Times New Roman" w:cs="Times New Roman"/>
                <w:color w:val="000000"/>
                <w:sz w:val="20"/>
                <w:szCs w:val="20"/>
                <w:lang w:val="lt-LT"/>
              </w:rPr>
            </w:pPr>
            <w:r w:rsidRPr="00355D1D">
              <w:rPr>
                <w:rFonts w:ascii="Times New Roman" w:hAnsi="Times New Roman" w:cs="Times New Roman"/>
                <w:color w:val="000000"/>
                <w:sz w:val="20"/>
                <w:szCs w:val="20"/>
                <w:lang w:val="lt-LT"/>
              </w:rPr>
              <w:t>(parašas)</w:t>
            </w:r>
          </w:p>
          <w:p w14:paraId="2E556D1A" w14:textId="748F2EFA" w:rsidR="009B1C7B" w:rsidRPr="00355D1D" w:rsidRDefault="009B1C7B" w:rsidP="009B1C7B">
            <w:pPr>
              <w:shd w:val="clear" w:color="auto" w:fill="FFFFFF"/>
              <w:spacing w:line="259" w:lineRule="auto"/>
              <w:jc w:val="center"/>
              <w:textAlignment w:val="baseline"/>
              <w:rPr>
                <w:rFonts w:ascii="Times New Roman" w:hAnsi="Times New Roman" w:cs="Times New Roman"/>
                <w:color w:val="000000"/>
                <w:sz w:val="20"/>
                <w:szCs w:val="20"/>
                <w:lang w:val="lt-LT"/>
              </w:rPr>
            </w:pPr>
            <w:r>
              <w:rPr>
                <w:rFonts w:ascii="Times New Roman" w:hAnsi="Times New Roman" w:cs="Times New Roman"/>
                <w:color w:val="000000"/>
                <w:sz w:val="20"/>
                <w:szCs w:val="20"/>
                <w:lang w:val="lt-LT"/>
              </w:rPr>
              <w:t>Muitinės departamento generalinis direktorius</w:t>
            </w:r>
          </w:p>
        </w:tc>
        <w:tc>
          <w:tcPr>
            <w:tcW w:w="281" w:type="dxa"/>
            <w:tcBorders>
              <w:top w:val="nil"/>
              <w:left w:val="nil"/>
              <w:bottom w:val="nil"/>
              <w:right w:val="nil"/>
            </w:tcBorders>
          </w:tcPr>
          <w:p w14:paraId="1E4751FE" w14:textId="77777777" w:rsidR="00DB430D" w:rsidRPr="00670DEB" w:rsidRDefault="00DB430D" w:rsidP="00EC60F3">
            <w:pPr>
              <w:jc w:val="both"/>
              <w:rPr>
                <w:rFonts w:ascii="Times New Roman" w:hAnsi="Times New Roman" w:cs="Times New Roman"/>
                <w:color w:val="000000"/>
                <w:lang w:val="lt-LT"/>
              </w:rPr>
            </w:pPr>
          </w:p>
        </w:tc>
        <w:tc>
          <w:tcPr>
            <w:tcW w:w="1666" w:type="dxa"/>
            <w:tcBorders>
              <w:top w:val="nil"/>
              <w:left w:val="nil"/>
              <w:bottom w:val="nil"/>
              <w:right w:val="nil"/>
            </w:tcBorders>
          </w:tcPr>
          <w:p w14:paraId="3121450E" w14:textId="77777777" w:rsidR="00DB430D" w:rsidRPr="00670DEB" w:rsidRDefault="00DB430D" w:rsidP="00EC60F3">
            <w:pPr>
              <w:jc w:val="both"/>
              <w:rPr>
                <w:rFonts w:ascii="Times New Roman" w:hAnsi="Times New Roman" w:cs="Times New Roman"/>
                <w:color w:val="000000"/>
                <w:lang w:val="lt-LT"/>
              </w:rPr>
            </w:pPr>
          </w:p>
        </w:tc>
        <w:tc>
          <w:tcPr>
            <w:tcW w:w="281" w:type="dxa"/>
            <w:tcBorders>
              <w:top w:val="nil"/>
              <w:left w:val="nil"/>
              <w:bottom w:val="nil"/>
              <w:right w:val="nil"/>
            </w:tcBorders>
          </w:tcPr>
          <w:p w14:paraId="6463045F" w14:textId="77777777" w:rsidR="00DB430D" w:rsidRPr="00670DEB" w:rsidRDefault="00DB430D" w:rsidP="00EC60F3">
            <w:pPr>
              <w:jc w:val="both"/>
              <w:rPr>
                <w:rFonts w:ascii="Times New Roman" w:hAnsi="Times New Roman" w:cs="Times New Roman"/>
                <w:color w:val="000000"/>
                <w:lang w:val="lt-LT"/>
              </w:rPr>
            </w:pPr>
          </w:p>
        </w:tc>
        <w:tc>
          <w:tcPr>
            <w:tcW w:w="3546" w:type="dxa"/>
            <w:tcBorders>
              <w:top w:val="nil"/>
              <w:left w:val="nil"/>
              <w:bottom w:val="single" w:sz="4" w:space="0" w:color="auto"/>
              <w:right w:val="nil"/>
            </w:tcBorders>
          </w:tcPr>
          <w:p w14:paraId="7B7F37BF" w14:textId="77777777" w:rsidR="00DB430D" w:rsidRDefault="00DB430D" w:rsidP="00EC60F3">
            <w:pPr>
              <w:jc w:val="center"/>
              <w:rPr>
                <w:rFonts w:ascii="Times New Roman" w:hAnsi="Times New Roman" w:cs="Times New Roman"/>
                <w:color w:val="000000"/>
                <w:sz w:val="20"/>
                <w:szCs w:val="20"/>
                <w:lang w:val="lt-LT"/>
              </w:rPr>
            </w:pPr>
            <w:r w:rsidRPr="00355D1D">
              <w:rPr>
                <w:rFonts w:ascii="Times New Roman" w:hAnsi="Times New Roman" w:cs="Times New Roman"/>
                <w:color w:val="000000"/>
                <w:sz w:val="20"/>
                <w:szCs w:val="20"/>
                <w:lang w:val="lt-LT"/>
              </w:rPr>
              <w:t>(parašas)</w:t>
            </w:r>
          </w:p>
          <w:p w14:paraId="3E986769" w14:textId="77777777" w:rsidR="009B1C7B" w:rsidRDefault="009B1C7B" w:rsidP="00EC60F3">
            <w:pPr>
              <w:jc w:val="center"/>
              <w:rPr>
                <w:rFonts w:ascii="Times New Roman" w:hAnsi="Times New Roman" w:cs="Times New Roman"/>
                <w:color w:val="000000"/>
                <w:sz w:val="20"/>
                <w:szCs w:val="20"/>
                <w:lang w:val="lt-LT"/>
              </w:rPr>
            </w:pPr>
          </w:p>
          <w:p w14:paraId="45ABABFE" w14:textId="6F7CA5D5" w:rsidR="009B1C7B" w:rsidRPr="00355D1D" w:rsidRDefault="009B1C7B" w:rsidP="00EC60F3">
            <w:pPr>
              <w:jc w:val="center"/>
              <w:rPr>
                <w:rFonts w:ascii="Times New Roman" w:hAnsi="Times New Roman" w:cs="Times New Roman"/>
                <w:color w:val="000000"/>
                <w:sz w:val="20"/>
                <w:szCs w:val="20"/>
                <w:lang w:val="lt-LT"/>
              </w:rPr>
            </w:pPr>
            <w:r>
              <w:rPr>
                <w:rFonts w:ascii="Times New Roman" w:hAnsi="Times New Roman" w:cs="Times New Roman"/>
                <w:color w:val="000000"/>
                <w:sz w:val="20"/>
                <w:szCs w:val="20"/>
                <w:lang w:val="lt-LT"/>
              </w:rPr>
              <w:t>Muitinės laboratorijos direktorė</w:t>
            </w:r>
          </w:p>
        </w:tc>
      </w:tr>
      <w:tr w:rsidR="00DB430D" w:rsidRPr="00670DEB" w14:paraId="3E329743" w14:textId="77777777" w:rsidTr="00BD26A5">
        <w:trPr>
          <w:trHeight w:val="692"/>
        </w:trPr>
        <w:tc>
          <w:tcPr>
            <w:tcW w:w="3582" w:type="dxa"/>
            <w:tcBorders>
              <w:top w:val="nil"/>
              <w:left w:val="nil"/>
              <w:bottom w:val="single" w:sz="4" w:space="0" w:color="auto"/>
              <w:right w:val="nil"/>
            </w:tcBorders>
          </w:tcPr>
          <w:p w14:paraId="1B09C129" w14:textId="77777777" w:rsidR="00DB430D" w:rsidRDefault="00DB430D" w:rsidP="00EC60F3">
            <w:pPr>
              <w:jc w:val="center"/>
              <w:rPr>
                <w:rFonts w:ascii="Times New Roman" w:hAnsi="Times New Roman" w:cs="Times New Roman"/>
                <w:color w:val="000000"/>
                <w:sz w:val="20"/>
                <w:szCs w:val="20"/>
                <w:lang w:val="lt-LT"/>
              </w:rPr>
            </w:pPr>
            <w:r w:rsidRPr="00355D1D">
              <w:rPr>
                <w:rFonts w:ascii="Times New Roman" w:hAnsi="Times New Roman" w:cs="Times New Roman"/>
                <w:color w:val="000000"/>
                <w:sz w:val="20"/>
                <w:szCs w:val="20"/>
                <w:lang w:val="lt-LT"/>
              </w:rPr>
              <w:t>(pareigų pavadinimas)</w:t>
            </w:r>
          </w:p>
          <w:p w14:paraId="2CE0AFE3" w14:textId="77777777" w:rsidR="009B1C7B" w:rsidRDefault="009B1C7B" w:rsidP="00EC60F3">
            <w:pPr>
              <w:jc w:val="center"/>
              <w:rPr>
                <w:rFonts w:ascii="Times New Roman" w:hAnsi="Times New Roman" w:cs="Times New Roman"/>
                <w:color w:val="000000"/>
                <w:sz w:val="20"/>
                <w:szCs w:val="20"/>
                <w:lang w:val="lt-LT"/>
              </w:rPr>
            </w:pPr>
          </w:p>
          <w:p w14:paraId="134E5873" w14:textId="385411BA" w:rsidR="009B1C7B" w:rsidRPr="00355D1D" w:rsidRDefault="009B1C7B" w:rsidP="00EC60F3">
            <w:pPr>
              <w:jc w:val="center"/>
              <w:rPr>
                <w:rFonts w:ascii="Times New Roman" w:hAnsi="Times New Roman" w:cs="Times New Roman"/>
                <w:color w:val="000000"/>
                <w:sz w:val="20"/>
                <w:szCs w:val="20"/>
                <w:lang w:val="lt-LT"/>
              </w:rPr>
            </w:pPr>
            <w:r>
              <w:rPr>
                <w:rFonts w:ascii="Times New Roman" w:hAnsi="Times New Roman" w:cs="Times New Roman"/>
                <w:color w:val="000000"/>
                <w:sz w:val="20"/>
                <w:szCs w:val="20"/>
                <w:lang w:val="lt-LT"/>
              </w:rPr>
              <w:t>Darius Žvironas</w:t>
            </w:r>
          </w:p>
        </w:tc>
        <w:tc>
          <w:tcPr>
            <w:tcW w:w="281" w:type="dxa"/>
            <w:tcBorders>
              <w:top w:val="nil"/>
              <w:left w:val="nil"/>
              <w:bottom w:val="nil"/>
              <w:right w:val="nil"/>
            </w:tcBorders>
          </w:tcPr>
          <w:p w14:paraId="3FA3EA67" w14:textId="77777777" w:rsidR="00DB430D" w:rsidRPr="00670DEB" w:rsidRDefault="00DB430D" w:rsidP="00EC60F3">
            <w:pPr>
              <w:jc w:val="both"/>
              <w:rPr>
                <w:rFonts w:ascii="Times New Roman" w:hAnsi="Times New Roman" w:cs="Times New Roman"/>
                <w:color w:val="000000"/>
                <w:lang w:val="lt-LT"/>
              </w:rPr>
            </w:pPr>
          </w:p>
        </w:tc>
        <w:tc>
          <w:tcPr>
            <w:tcW w:w="1666" w:type="dxa"/>
            <w:tcBorders>
              <w:top w:val="nil"/>
              <w:left w:val="nil"/>
              <w:bottom w:val="nil"/>
              <w:right w:val="nil"/>
            </w:tcBorders>
          </w:tcPr>
          <w:p w14:paraId="0E6434DB" w14:textId="77777777" w:rsidR="00DB430D" w:rsidRPr="00670DEB" w:rsidRDefault="00DB430D" w:rsidP="00EC60F3">
            <w:pPr>
              <w:jc w:val="both"/>
              <w:rPr>
                <w:rFonts w:ascii="Times New Roman" w:hAnsi="Times New Roman" w:cs="Times New Roman"/>
                <w:color w:val="000000"/>
                <w:lang w:val="lt-LT"/>
              </w:rPr>
            </w:pPr>
          </w:p>
        </w:tc>
        <w:tc>
          <w:tcPr>
            <w:tcW w:w="281" w:type="dxa"/>
            <w:tcBorders>
              <w:top w:val="nil"/>
              <w:left w:val="nil"/>
              <w:bottom w:val="nil"/>
              <w:right w:val="nil"/>
            </w:tcBorders>
          </w:tcPr>
          <w:p w14:paraId="354C7B51" w14:textId="77777777" w:rsidR="00DB430D" w:rsidRPr="00670DEB" w:rsidRDefault="00DB430D" w:rsidP="00EC60F3">
            <w:pPr>
              <w:jc w:val="both"/>
              <w:rPr>
                <w:rFonts w:ascii="Times New Roman" w:hAnsi="Times New Roman" w:cs="Times New Roman"/>
                <w:color w:val="000000"/>
                <w:lang w:val="lt-LT"/>
              </w:rPr>
            </w:pPr>
          </w:p>
        </w:tc>
        <w:tc>
          <w:tcPr>
            <w:tcW w:w="3546" w:type="dxa"/>
            <w:tcBorders>
              <w:top w:val="nil"/>
              <w:left w:val="nil"/>
              <w:bottom w:val="single" w:sz="4" w:space="0" w:color="auto"/>
              <w:right w:val="nil"/>
            </w:tcBorders>
          </w:tcPr>
          <w:p w14:paraId="069BE347" w14:textId="77777777" w:rsidR="00DB430D" w:rsidRDefault="00DB430D" w:rsidP="00EC60F3">
            <w:pPr>
              <w:jc w:val="center"/>
              <w:rPr>
                <w:rFonts w:ascii="Times New Roman" w:hAnsi="Times New Roman" w:cs="Times New Roman"/>
                <w:color w:val="000000"/>
                <w:sz w:val="20"/>
                <w:szCs w:val="20"/>
                <w:lang w:val="lt-LT"/>
              </w:rPr>
            </w:pPr>
            <w:r w:rsidRPr="00355D1D">
              <w:rPr>
                <w:rFonts w:ascii="Times New Roman" w:hAnsi="Times New Roman" w:cs="Times New Roman"/>
                <w:color w:val="000000"/>
                <w:sz w:val="20"/>
                <w:szCs w:val="20"/>
                <w:lang w:val="lt-LT"/>
              </w:rPr>
              <w:t>(pareigų pavadinimas)</w:t>
            </w:r>
          </w:p>
          <w:p w14:paraId="0BCBB203" w14:textId="77777777" w:rsidR="009B1C7B" w:rsidRDefault="009B1C7B" w:rsidP="00EC60F3">
            <w:pPr>
              <w:jc w:val="center"/>
              <w:rPr>
                <w:rFonts w:ascii="Times New Roman" w:hAnsi="Times New Roman" w:cs="Times New Roman"/>
                <w:color w:val="000000"/>
                <w:sz w:val="20"/>
                <w:szCs w:val="20"/>
                <w:lang w:val="lt-LT"/>
              </w:rPr>
            </w:pPr>
          </w:p>
          <w:p w14:paraId="5223B063" w14:textId="269CD54A" w:rsidR="009B1C7B" w:rsidRPr="00355D1D" w:rsidRDefault="009B1C7B" w:rsidP="00EC60F3">
            <w:pPr>
              <w:jc w:val="center"/>
              <w:rPr>
                <w:rFonts w:ascii="Times New Roman" w:hAnsi="Times New Roman" w:cs="Times New Roman"/>
                <w:color w:val="000000"/>
                <w:sz w:val="20"/>
                <w:szCs w:val="20"/>
                <w:lang w:val="lt-LT"/>
              </w:rPr>
            </w:pPr>
            <w:r>
              <w:rPr>
                <w:rFonts w:ascii="Times New Roman" w:hAnsi="Times New Roman" w:cs="Times New Roman"/>
                <w:color w:val="000000"/>
                <w:sz w:val="20"/>
                <w:szCs w:val="20"/>
                <w:lang w:val="lt-LT"/>
              </w:rPr>
              <w:t xml:space="preserve">Lina </w:t>
            </w:r>
            <w:proofErr w:type="spellStart"/>
            <w:r>
              <w:rPr>
                <w:rFonts w:ascii="Times New Roman" w:hAnsi="Times New Roman" w:cs="Times New Roman"/>
                <w:color w:val="000000"/>
                <w:sz w:val="20"/>
                <w:szCs w:val="20"/>
                <w:lang w:val="lt-LT"/>
              </w:rPr>
              <w:t>Baltokienė</w:t>
            </w:r>
            <w:proofErr w:type="spellEnd"/>
          </w:p>
        </w:tc>
      </w:tr>
      <w:tr w:rsidR="00DB430D" w:rsidRPr="00670DEB" w14:paraId="3F647D41" w14:textId="77777777" w:rsidTr="00BD26A5">
        <w:tc>
          <w:tcPr>
            <w:tcW w:w="3582" w:type="dxa"/>
            <w:tcBorders>
              <w:left w:val="nil"/>
              <w:bottom w:val="nil"/>
              <w:right w:val="nil"/>
            </w:tcBorders>
          </w:tcPr>
          <w:p w14:paraId="35E1C240" w14:textId="77777777" w:rsidR="00DB430D" w:rsidRPr="00355D1D" w:rsidRDefault="00DB430D" w:rsidP="00EC60F3">
            <w:pPr>
              <w:jc w:val="center"/>
              <w:rPr>
                <w:rFonts w:ascii="Times New Roman" w:hAnsi="Times New Roman" w:cs="Times New Roman"/>
                <w:color w:val="000000"/>
                <w:sz w:val="20"/>
                <w:szCs w:val="20"/>
                <w:lang w:val="lt-LT"/>
              </w:rPr>
            </w:pPr>
            <w:r w:rsidRPr="00355D1D">
              <w:rPr>
                <w:rFonts w:ascii="Times New Roman" w:hAnsi="Times New Roman" w:cs="Times New Roman"/>
                <w:color w:val="000000"/>
                <w:sz w:val="20"/>
                <w:szCs w:val="20"/>
                <w:lang w:val="lt-LT"/>
              </w:rPr>
              <w:t>(vardas ir pavardė)</w:t>
            </w:r>
          </w:p>
        </w:tc>
        <w:tc>
          <w:tcPr>
            <w:tcW w:w="281" w:type="dxa"/>
            <w:tcBorders>
              <w:top w:val="nil"/>
              <w:left w:val="nil"/>
              <w:bottom w:val="nil"/>
              <w:right w:val="nil"/>
            </w:tcBorders>
          </w:tcPr>
          <w:p w14:paraId="30E5F415" w14:textId="77777777" w:rsidR="00DB430D" w:rsidRPr="00670DEB" w:rsidRDefault="00DB430D" w:rsidP="00EC60F3">
            <w:pPr>
              <w:jc w:val="both"/>
              <w:rPr>
                <w:rFonts w:ascii="Times New Roman" w:hAnsi="Times New Roman" w:cs="Times New Roman"/>
                <w:color w:val="000000"/>
                <w:lang w:val="lt-LT"/>
              </w:rPr>
            </w:pPr>
          </w:p>
        </w:tc>
        <w:tc>
          <w:tcPr>
            <w:tcW w:w="1666" w:type="dxa"/>
            <w:tcBorders>
              <w:top w:val="nil"/>
              <w:left w:val="nil"/>
              <w:bottom w:val="nil"/>
              <w:right w:val="nil"/>
            </w:tcBorders>
          </w:tcPr>
          <w:p w14:paraId="00D19383" w14:textId="77777777" w:rsidR="00DB430D" w:rsidRPr="00670DEB" w:rsidRDefault="00DB430D" w:rsidP="00EC60F3">
            <w:pPr>
              <w:jc w:val="center"/>
              <w:rPr>
                <w:rFonts w:ascii="Times New Roman" w:hAnsi="Times New Roman" w:cs="Times New Roman"/>
                <w:color w:val="000000"/>
                <w:lang w:val="lt-LT"/>
              </w:rPr>
            </w:pPr>
          </w:p>
        </w:tc>
        <w:tc>
          <w:tcPr>
            <w:tcW w:w="281" w:type="dxa"/>
            <w:tcBorders>
              <w:top w:val="nil"/>
              <w:left w:val="nil"/>
              <w:bottom w:val="nil"/>
              <w:right w:val="nil"/>
            </w:tcBorders>
          </w:tcPr>
          <w:p w14:paraId="0314BFD1" w14:textId="77777777" w:rsidR="00DB430D" w:rsidRPr="00670DEB" w:rsidRDefault="00DB430D" w:rsidP="00EC60F3">
            <w:pPr>
              <w:jc w:val="both"/>
              <w:rPr>
                <w:rFonts w:ascii="Times New Roman" w:hAnsi="Times New Roman" w:cs="Times New Roman"/>
                <w:color w:val="000000"/>
                <w:lang w:val="lt-LT"/>
              </w:rPr>
            </w:pPr>
          </w:p>
        </w:tc>
        <w:tc>
          <w:tcPr>
            <w:tcW w:w="3546" w:type="dxa"/>
            <w:tcBorders>
              <w:left w:val="nil"/>
              <w:bottom w:val="nil"/>
              <w:right w:val="nil"/>
            </w:tcBorders>
          </w:tcPr>
          <w:p w14:paraId="4E0F6362" w14:textId="77777777" w:rsidR="00DB430D" w:rsidRPr="00355D1D" w:rsidRDefault="00DB430D" w:rsidP="00EC60F3">
            <w:pPr>
              <w:jc w:val="center"/>
              <w:rPr>
                <w:rFonts w:ascii="Times New Roman" w:hAnsi="Times New Roman" w:cs="Times New Roman"/>
                <w:color w:val="000000"/>
                <w:sz w:val="20"/>
                <w:szCs w:val="20"/>
                <w:lang w:val="lt-LT"/>
              </w:rPr>
            </w:pPr>
            <w:r w:rsidRPr="00355D1D">
              <w:rPr>
                <w:rFonts w:ascii="Times New Roman" w:hAnsi="Times New Roman" w:cs="Times New Roman"/>
                <w:color w:val="000000"/>
                <w:sz w:val="20"/>
                <w:szCs w:val="20"/>
                <w:lang w:val="lt-LT"/>
              </w:rPr>
              <w:t>(vardas ir pavardė)</w:t>
            </w:r>
          </w:p>
        </w:tc>
      </w:tr>
    </w:tbl>
    <w:p w14:paraId="37FF732C" w14:textId="77777777" w:rsidR="00E745FF" w:rsidRDefault="00E745FF" w:rsidP="00D774F8">
      <w:pPr>
        <w:rPr>
          <w:rFonts w:ascii="Times New Roman" w:hAnsi="Times New Roman" w:cs="Times New Roman"/>
          <w:sz w:val="24"/>
          <w:szCs w:val="24"/>
          <w:lang w:val="lt-LT"/>
        </w:rPr>
      </w:pPr>
    </w:p>
    <w:p w14:paraId="0790DF7C" w14:textId="6E05F909" w:rsidR="00F45222" w:rsidRPr="00D8549A" w:rsidRDefault="00F45222" w:rsidP="00D1413B">
      <w:pPr>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w:t>
      </w:r>
    </w:p>
    <w:sectPr w:rsidR="00F45222" w:rsidRPr="00D8549A" w:rsidSect="004B6437">
      <w:headerReference w:type="default" r:id="rId8"/>
      <w:footerReference w:type="default" r:id="rId9"/>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A68F9" w14:textId="77777777" w:rsidR="00A760D5" w:rsidRDefault="00A760D5" w:rsidP="00D35819">
      <w:pPr>
        <w:spacing w:after="0" w:line="240" w:lineRule="auto"/>
      </w:pPr>
      <w:r>
        <w:separator/>
      </w:r>
    </w:p>
  </w:endnote>
  <w:endnote w:type="continuationSeparator" w:id="0">
    <w:p w14:paraId="1700D8D1" w14:textId="77777777" w:rsidR="00A760D5" w:rsidRDefault="00A760D5" w:rsidP="00D35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792928"/>
      <w:docPartObj>
        <w:docPartGallery w:val="Page Numbers (Bottom of Page)"/>
        <w:docPartUnique/>
      </w:docPartObj>
    </w:sdtPr>
    <w:sdtContent>
      <w:p w14:paraId="0494378E" w14:textId="77777777" w:rsidR="00947BA6" w:rsidRDefault="00947BA6">
        <w:pPr>
          <w:pStyle w:val="Porat"/>
          <w:jc w:val="right"/>
        </w:pPr>
        <w:r>
          <w:fldChar w:fldCharType="begin"/>
        </w:r>
        <w:r>
          <w:instrText>PAGE   \* MERGEFORMAT</w:instrText>
        </w:r>
        <w:r>
          <w:fldChar w:fldCharType="separate"/>
        </w:r>
        <w:r w:rsidR="00957DD8" w:rsidRPr="00957DD8">
          <w:rPr>
            <w:noProof/>
            <w:lang w:val="lt-LT"/>
          </w:rPr>
          <w:t>2</w:t>
        </w:r>
        <w:r>
          <w:fldChar w:fldCharType="end"/>
        </w:r>
      </w:p>
    </w:sdtContent>
  </w:sdt>
  <w:p w14:paraId="4523EC2C" w14:textId="77777777" w:rsidR="00947BA6" w:rsidRDefault="00947B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4332A" w14:textId="77777777" w:rsidR="00A760D5" w:rsidRDefault="00A760D5" w:rsidP="00D35819">
      <w:pPr>
        <w:spacing w:after="0" w:line="240" w:lineRule="auto"/>
      </w:pPr>
      <w:r>
        <w:separator/>
      </w:r>
    </w:p>
  </w:footnote>
  <w:footnote w:type="continuationSeparator" w:id="0">
    <w:p w14:paraId="618E5B7F" w14:textId="77777777" w:rsidR="00A760D5" w:rsidRDefault="00A760D5" w:rsidP="00D35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4FEE" w14:textId="77777777" w:rsidR="00D35819" w:rsidRPr="00C61B52" w:rsidRDefault="00D35819" w:rsidP="00D35819">
    <w:pPr>
      <w:pStyle w:val="Antrats"/>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B3F"/>
    <w:multiLevelType w:val="hybridMultilevel"/>
    <w:tmpl w:val="262CC21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EC26604"/>
    <w:multiLevelType w:val="hybridMultilevel"/>
    <w:tmpl w:val="FA1ED6D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F24189D"/>
    <w:multiLevelType w:val="hybridMultilevel"/>
    <w:tmpl w:val="03C4F3E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 w15:restartNumberingAfterBreak="0">
    <w:nsid w:val="0F6971EB"/>
    <w:multiLevelType w:val="hybridMultilevel"/>
    <w:tmpl w:val="6CA2F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34819"/>
    <w:multiLevelType w:val="hybridMultilevel"/>
    <w:tmpl w:val="500C75E0"/>
    <w:lvl w:ilvl="0" w:tplc="2AEE41FE">
      <w:start w:val="1"/>
      <w:numFmt w:val="bullet"/>
      <w:lvlText w:val=""/>
      <w:lvlJc w:val="left"/>
      <w:pPr>
        <w:ind w:left="1429" w:hanging="360"/>
      </w:pPr>
      <w:rPr>
        <w:rFonts w:ascii="Symbol" w:hAnsi="Symbol" w:hint="default"/>
        <w:sz w:val="2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67A0B04"/>
    <w:multiLevelType w:val="hybridMultilevel"/>
    <w:tmpl w:val="79AAD796"/>
    <w:lvl w:ilvl="0" w:tplc="0714FAAE">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263E8"/>
    <w:multiLevelType w:val="hybridMultilevel"/>
    <w:tmpl w:val="FCC850F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22997960"/>
    <w:multiLevelType w:val="hybridMultilevel"/>
    <w:tmpl w:val="665A1CB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8" w15:restartNumberingAfterBreak="0">
    <w:nsid w:val="260C5794"/>
    <w:multiLevelType w:val="hybridMultilevel"/>
    <w:tmpl w:val="3D287F3C"/>
    <w:lvl w:ilvl="0" w:tplc="F9304A0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C3E4A"/>
    <w:multiLevelType w:val="hybridMultilevel"/>
    <w:tmpl w:val="AFE2EBB6"/>
    <w:lvl w:ilvl="0" w:tplc="3C60BA40">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AF35672"/>
    <w:multiLevelType w:val="hybridMultilevel"/>
    <w:tmpl w:val="11BE1536"/>
    <w:lvl w:ilvl="0" w:tplc="AA4226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D2688"/>
    <w:multiLevelType w:val="hybridMultilevel"/>
    <w:tmpl w:val="801643C2"/>
    <w:lvl w:ilvl="0" w:tplc="A2CE214A">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19441C6"/>
    <w:multiLevelType w:val="hybridMultilevel"/>
    <w:tmpl w:val="22FEC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12755"/>
    <w:multiLevelType w:val="hybridMultilevel"/>
    <w:tmpl w:val="31EA465E"/>
    <w:lvl w:ilvl="0" w:tplc="09FECA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901640"/>
    <w:multiLevelType w:val="hybridMultilevel"/>
    <w:tmpl w:val="A6B034B6"/>
    <w:lvl w:ilvl="0" w:tplc="1C7C17F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65F5C90"/>
    <w:multiLevelType w:val="hybridMultilevel"/>
    <w:tmpl w:val="B8FC38E2"/>
    <w:lvl w:ilvl="0" w:tplc="04090015">
      <w:start w:val="1"/>
      <w:numFmt w:val="upperLetter"/>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78BB6C2A"/>
    <w:multiLevelType w:val="hybridMultilevel"/>
    <w:tmpl w:val="9968A15A"/>
    <w:lvl w:ilvl="0" w:tplc="7794CBB8">
      <w:start w:val="1"/>
      <w:numFmt w:val="bullet"/>
      <w:lvlText w:val=""/>
      <w:lvlJc w:val="left"/>
      <w:pPr>
        <w:tabs>
          <w:tab w:val="num" w:pos="720"/>
        </w:tabs>
        <w:ind w:left="720" w:hanging="360"/>
      </w:pPr>
      <w:rPr>
        <w:rFonts w:ascii="Wingdings" w:hAnsi="Wingdings" w:hint="default"/>
      </w:rPr>
    </w:lvl>
    <w:lvl w:ilvl="1" w:tplc="EA6E371C" w:tentative="1">
      <w:start w:val="1"/>
      <w:numFmt w:val="bullet"/>
      <w:lvlText w:val=""/>
      <w:lvlJc w:val="left"/>
      <w:pPr>
        <w:tabs>
          <w:tab w:val="num" w:pos="1440"/>
        </w:tabs>
        <w:ind w:left="1440" w:hanging="360"/>
      </w:pPr>
      <w:rPr>
        <w:rFonts w:ascii="Wingdings" w:hAnsi="Wingdings" w:hint="default"/>
      </w:rPr>
    </w:lvl>
    <w:lvl w:ilvl="2" w:tplc="9498F3CE" w:tentative="1">
      <w:start w:val="1"/>
      <w:numFmt w:val="bullet"/>
      <w:lvlText w:val=""/>
      <w:lvlJc w:val="left"/>
      <w:pPr>
        <w:tabs>
          <w:tab w:val="num" w:pos="2160"/>
        </w:tabs>
        <w:ind w:left="2160" w:hanging="360"/>
      </w:pPr>
      <w:rPr>
        <w:rFonts w:ascii="Wingdings" w:hAnsi="Wingdings" w:hint="default"/>
      </w:rPr>
    </w:lvl>
    <w:lvl w:ilvl="3" w:tplc="E39EBE86" w:tentative="1">
      <w:start w:val="1"/>
      <w:numFmt w:val="bullet"/>
      <w:lvlText w:val=""/>
      <w:lvlJc w:val="left"/>
      <w:pPr>
        <w:tabs>
          <w:tab w:val="num" w:pos="2880"/>
        </w:tabs>
        <w:ind w:left="2880" w:hanging="360"/>
      </w:pPr>
      <w:rPr>
        <w:rFonts w:ascii="Wingdings" w:hAnsi="Wingdings" w:hint="default"/>
      </w:rPr>
    </w:lvl>
    <w:lvl w:ilvl="4" w:tplc="B0DA33CA" w:tentative="1">
      <w:start w:val="1"/>
      <w:numFmt w:val="bullet"/>
      <w:lvlText w:val=""/>
      <w:lvlJc w:val="left"/>
      <w:pPr>
        <w:tabs>
          <w:tab w:val="num" w:pos="3600"/>
        </w:tabs>
        <w:ind w:left="3600" w:hanging="360"/>
      </w:pPr>
      <w:rPr>
        <w:rFonts w:ascii="Wingdings" w:hAnsi="Wingdings" w:hint="default"/>
      </w:rPr>
    </w:lvl>
    <w:lvl w:ilvl="5" w:tplc="558C5E64" w:tentative="1">
      <w:start w:val="1"/>
      <w:numFmt w:val="bullet"/>
      <w:lvlText w:val=""/>
      <w:lvlJc w:val="left"/>
      <w:pPr>
        <w:tabs>
          <w:tab w:val="num" w:pos="4320"/>
        </w:tabs>
        <w:ind w:left="4320" w:hanging="360"/>
      </w:pPr>
      <w:rPr>
        <w:rFonts w:ascii="Wingdings" w:hAnsi="Wingdings" w:hint="default"/>
      </w:rPr>
    </w:lvl>
    <w:lvl w:ilvl="6" w:tplc="ADAE67F6" w:tentative="1">
      <w:start w:val="1"/>
      <w:numFmt w:val="bullet"/>
      <w:lvlText w:val=""/>
      <w:lvlJc w:val="left"/>
      <w:pPr>
        <w:tabs>
          <w:tab w:val="num" w:pos="5040"/>
        </w:tabs>
        <w:ind w:left="5040" w:hanging="360"/>
      </w:pPr>
      <w:rPr>
        <w:rFonts w:ascii="Wingdings" w:hAnsi="Wingdings" w:hint="default"/>
      </w:rPr>
    </w:lvl>
    <w:lvl w:ilvl="7" w:tplc="B6DCBCDE" w:tentative="1">
      <w:start w:val="1"/>
      <w:numFmt w:val="bullet"/>
      <w:lvlText w:val=""/>
      <w:lvlJc w:val="left"/>
      <w:pPr>
        <w:tabs>
          <w:tab w:val="num" w:pos="5760"/>
        </w:tabs>
        <w:ind w:left="5760" w:hanging="360"/>
      </w:pPr>
      <w:rPr>
        <w:rFonts w:ascii="Wingdings" w:hAnsi="Wingdings" w:hint="default"/>
      </w:rPr>
    </w:lvl>
    <w:lvl w:ilvl="8" w:tplc="2D8E2ED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805AE3"/>
    <w:multiLevelType w:val="hybridMultilevel"/>
    <w:tmpl w:val="5790A12A"/>
    <w:lvl w:ilvl="0" w:tplc="04090015">
      <w:start w:val="1"/>
      <w:numFmt w:val="upperLetter"/>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7016979">
    <w:abstractNumId w:val="6"/>
  </w:num>
  <w:num w:numId="2" w16cid:durableId="298536831">
    <w:abstractNumId w:val="1"/>
  </w:num>
  <w:num w:numId="3" w16cid:durableId="978418958">
    <w:abstractNumId w:val="10"/>
  </w:num>
  <w:num w:numId="4" w16cid:durableId="178928133">
    <w:abstractNumId w:val="15"/>
  </w:num>
  <w:num w:numId="5" w16cid:durableId="1099571164">
    <w:abstractNumId w:val="17"/>
  </w:num>
  <w:num w:numId="6" w16cid:durableId="682584382">
    <w:abstractNumId w:val="5"/>
  </w:num>
  <w:num w:numId="7" w16cid:durableId="1704670072">
    <w:abstractNumId w:val="13"/>
  </w:num>
  <w:num w:numId="8" w16cid:durableId="1876771612">
    <w:abstractNumId w:val="12"/>
  </w:num>
  <w:num w:numId="9" w16cid:durableId="1511673990">
    <w:abstractNumId w:val="3"/>
  </w:num>
  <w:num w:numId="10" w16cid:durableId="727997697">
    <w:abstractNumId w:val="8"/>
  </w:num>
  <w:num w:numId="11" w16cid:durableId="1366175848">
    <w:abstractNumId w:val="16"/>
  </w:num>
  <w:num w:numId="12" w16cid:durableId="1366522290">
    <w:abstractNumId w:val="9"/>
  </w:num>
  <w:num w:numId="13" w16cid:durableId="881938131">
    <w:abstractNumId w:val="0"/>
  </w:num>
  <w:num w:numId="14" w16cid:durableId="915360933">
    <w:abstractNumId w:val="14"/>
  </w:num>
  <w:num w:numId="15" w16cid:durableId="1867063342">
    <w:abstractNumId w:val="4"/>
  </w:num>
  <w:num w:numId="16" w16cid:durableId="1959290994">
    <w:abstractNumId w:val="7"/>
  </w:num>
  <w:num w:numId="17" w16cid:durableId="190919710">
    <w:abstractNumId w:val="2"/>
  </w:num>
  <w:num w:numId="18" w16cid:durableId="2335867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B4C"/>
    <w:rsid w:val="00005710"/>
    <w:rsid w:val="00010CFC"/>
    <w:rsid w:val="00015C28"/>
    <w:rsid w:val="000279DF"/>
    <w:rsid w:val="0004242E"/>
    <w:rsid w:val="00043760"/>
    <w:rsid w:val="00046E1C"/>
    <w:rsid w:val="00050D05"/>
    <w:rsid w:val="00053B4C"/>
    <w:rsid w:val="00065A41"/>
    <w:rsid w:val="00073014"/>
    <w:rsid w:val="00073042"/>
    <w:rsid w:val="0007399E"/>
    <w:rsid w:val="00093FB3"/>
    <w:rsid w:val="000A5D1D"/>
    <w:rsid w:val="000B52D7"/>
    <w:rsid w:val="000B6633"/>
    <w:rsid w:val="000B6B15"/>
    <w:rsid w:val="000C10B9"/>
    <w:rsid w:val="000C2949"/>
    <w:rsid w:val="000F576D"/>
    <w:rsid w:val="001113F0"/>
    <w:rsid w:val="001231BD"/>
    <w:rsid w:val="00127ED1"/>
    <w:rsid w:val="00143DF5"/>
    <w:rsid w:val="00147C32"/>
    <w:rsid w:val="00151669"/>
    <w:rsid w:val="00152223"/>
    <w:rsid w:val="0015303E"/>
    <w:rsid w:val="00154028"/>
    <w:rsid w:val="0015562E"/>
    <w:rsid w:val="001669DA"/>
    <w:rsid w:val="00182106"/>
    <w:rsid w:val="00186FF3"/>
    <w:rsid w:val="00194BB5"/>
    <w:rsid w:val="001A36B3"/>
    <w:rsid w:val="001B0F6E"/>
    <w:rsid w:val="001C0A2D"/>
    <w:rsid w:val="001C0BA5"/>
    <w:rsid w:val="001C798C"/>
    <w:rsid w:val="001D50F9"/>
    <w:rsid w:val="001D6BAF"/>
    <w:rsid w:val="001D6CDD"/>
    <w:rsid w:val="001D6EC8"/>
    <w:rsid w:val="001F1350"/>
    <w:rsid w:val="002151C4"/>
    <w:rsid w:val="00220C79"/>
    <w:rsid w:val="00221C7A"/>
    <w:rsid w:val="00226CF7"/>
    <w:rsid w:val="00230BFB"/>
    <w:rsid w:val="0024326C"/>
    <w:rsid w:val="0024765F"/>
    <w:rsid w:val="00252695"/>
    <w:rsid w:val="00252E7A"/>
    <w:rsid w:val="00253B15"/>
    <w:rsid w:val="0026125B"/>
    <w:rsid w:val="002616AF"/>
    <w:rsid w:val="00273509"/>
    <w:rsid w:val="002744E1"/>
    <w:rsid w:val="0027495F"/>
    <w:rsid w:val="00277AAA"/>
    <w:rsid w:val="0028275E"/>
    <w:rsid w:val="002926C6"/>
    <w:rsid w:val="00294E32"/>
    <w:rsid w:val="00297B31"/>
    <w:rsid w:val="002A316A"/>
    <w:rsid w:val="002A6485"/>
    <w:rsid w:val="002C0C02"/>
    <w:rsid w:val="002C16FC"/>
    <w:rsid w:val="002D14C2"/>
    <w:rsid w:val="002D1A1F"/>
    <w:rsid w:val="002D2027"/>
    <w:rsid w:val="002D23B9"/>
    <w:rsid w:val="002D4945"/>
    <w:rsid w:val="002E4445"/>
    <w:rsid w:val="002F4CB7"/>
    <w:rsid w:val="002F667D"/>
    <w:rsid w:val="00313808"/>
    <w:rsid w:val="00321AD5"/>
    <w:rsid w:val="00322F32"/>
    <w:rsid w:val="00343FA7"/>
    <w:rsid w:val="00350337"/>
    <w:rsid w:val="00355423"/>
    <w:rsid w:val="00355D1D"/>
    <w:rsid w:val="0036277C"/>
    <w:rsid w:val="00366842"/>
    <w:rsid w:val="0037690C"/>
    <w:rsid w:val="00384044"/>
    <w:rsid w:val="00385256"/>
    <w:rsid w:val="0039075A"/>
    <w:rsid w:val="00396D65"/>
    <w:rsid w:val="003A5695"/>
    <w:rsid w:val="003B4C1E"/>
    <w:rsid w:val="003B6004"/>
    <w:rsid w:val="003D0725"/>
    <w:rsid w:val="003E25E8"/>
    <w:rsid w:val="003E26B0"/>
    <w:rsid w:val="003F3F37"/>
    <w:rsid w:val="00410FDD"/>
    <w:rsid w:val="00412753"/>
    <w:rsid w:val="004171C0"/>
    <w:rsid w:val="00441B8C"/>
    <w:rsid w:val="004458E1"/>
    <w:rsid w:val="00452553"/>
    <w:rsid w:val="00487A75"/>
    <w:rsid w:val="00493B5E"/>
    <w:rsid w:val="004A2755"/>
    <w:rsid w:val="004A5342"/>
    <w:rsid w:val="004B2BBA"/>
    <w:rsid w:val="004B6437"/>
    <w:rsid w:val="004C16E1"/>
    <w:rsid w:val="004C16EE"/>
    <w:rsid w:val="004C5422"/>
    <w:rsid w:val="004C6E14"/>
    <w:rsid w:val="004C79AA"/>
    <w:rsid w:val="004D179C"/>
    <w:rsid w:val="004D71E9"/>
    <w:rsid w:val="004E2876"/>
    <w:rsid w:val="004E48AF"/>
    <w:rsid w:val="004E4A65"/>
    <w:rsid w:val="004F44A8"/>
    <w:rsid w:val="004F5A24"/>
    <w:rsid w:val="005013DB"/>
    <w:rsid w:val="0051226C"/>
    <w:rsid w:val="00512A83"/>
    <w:rsid w:val="00541340"/>
    <w:rsid w:val="0054405A"/>
    <w:rsid w:val="005454F2"/>
    <w:rsid w:val="0055025E"/>
    <w:rsid w:val="00551779"/>
    <w:rsid w:val="00556158"/>
    <w:rsid w:val="0056267F"/>
    <w:rsid w:val="00564372"/>
    <w:rsid w:val="00573504"/>
    <w:rsid w:val="00573F07"/>
    <w:rsid w:val="005764C6"/>
    <w:rsid w:val="00576929"/>
    <w:rsid w:val="00584002"/>
    <w:rsid w:val="0058483A"/>
    <w:rsid w:val="005905E8"/>
    <w:rsid w:val="00590D26"/>
    <w:rsid w:val="00592424"/>
    <w:rsid w:val="00594240"/>
    <w:rsid w:val="005946D9"/>
    <w:rsid w:val="005954A3"/>
    <w:rsid w:val="005A2949"/>
    <w:rsid w:val="005A6307"/>
    <w:rsid w:val="005B73E7"/>
    <w:rsid w:val="005C4442"/>
    <w:rsid w:val="005C4A3D"/>
    <w:rsid w:val="005C4B15"/>
    <w:rsid w:val="005C7B4C"/>
    <w:rsid w:val="005D581C"/>
    <w:rsid w:val="005E0AE5"/>
    <w:rsid w:val="005E334C"/>
    <w:rsid w:val="005E347F"/>
    <w:rsid w:val="005E4F07"/>
    <w:rsid w:val="005E51A6"/>
    <w:rsid w:val="005F6C19"/>
    <w:rsid w:val="005F7500"/>
    <w:rsid w:val="00605508"/>
    <w:rsid w:val="00606861"/>
    <w:rsid w:val="006123CD"/>
    <w:rsid w:val="00612F4D"/>
    <w:rsid w:val="00630C4D"/>
    <w:rsid w:val="00632188"/>
    <w:rsid w:val="0063600C"/>
    <w:rsid w:val="00636583"/>
    <w:rsid w:val="00650EE5"/>
    <w:rsid w:val="00655F1F"/>
    <w:rsid w:val="00664610"/>
    <w:rsid w:val="006657A0"/>
    <w:rsid w:val="00667841"/>
    <w:rsid w:val="00670323"/>
    <w:rsid w:val="00670A82"/>
    <w:rsid w:val="00670DEB"/>
    <w:rsid w:val="0067647A"/>
    <w:rsid w:val="0068346A"/>
    <w:rsid w:val="006902FF"/>
    <w:rsid w:val="0069734F"/>
    <w:rsid w:val="006A3FE2"/>
    <w:rsid w:val="006B4EB1"/>
    <w:rsid w:val="006D74BF"/>
    <w:rsid w:val="006E1D41"/>
    <w:rsid w:val="006E740A"/>
    <w:rsid w:val="006F5F3E"/>
    <w:rsid w:val="0070305A"/>
    <w:rsid w:val="00722F31"/>
    <w:rsid w:val="007419EB"/>
    <w:rsid w:val="007476DF"/>
    <w:rsid w:val="00747F71"/>
    <w:rsid w:val="007508AC"/>
    <w:rsid w:val="00751451"/>
    <w:rsid w:val="00754EAC"/>
    <w:rsid w:val="00755C05"/>
    <w:rsid w:val="00760C6E"/>
    <w:rsid w:val="00761F90"/>
    <w:rsid w:val="00773E4D"/>
    <w:rsid w:val="00781E55"/>
    <w:rsid w:val="00783B22"/>
    <w:rsid w:val="007B12E5"/>
    <w:rsid w:val="007C100D"/>
    <w:rsid w:val="007C5224"/>
    <w:rsid w:val="007D03C9"/>
    <w:rsid w:val="007D28C5"/>
    <w:rsid w:val="007D35E5"/>
    <w:rsid w:val="007E68E0"/>
    <w:rsid w:val="007E7E5A"/>
    <w:rsid w:val="007F0778"/>
    <w:rsid w:val="007F2CFC"/>
    <w:rsid w:val="00807FE0"/>
    <w:rsid w:val="00813613"/>
    <w:rsid w:val="00820F00"/>
    <w:rsid w:val="008301FA"/>
    <w:rsid w:val="00830C88"/>
    <w:rsid w:val="00833A28"/>
    <w:rsid w:val="00846FFB"/>
    <w:rsid w:val="00847933"/>
    <w:rsid w:val="00850276"/>
    <w:rsid w:val="008535ED"/>
    <w:rsid w:val="008536EA"/>
    <w:rsid w:val="00882613"/>
    <w:rsid w:val="00883D54"/>
    <w:rsid w:val="00892906"/>
    <w:rsid w:val="008A421A"/>
    <w:rsid w:val="008B4234"/>
    <w:rsid w:val="008C5118"/>
    <w:rsid w:val="008C7A52"/>
    <w:rsid w:val="008D0567"/>
    <w:rsid w:val="008F0F77"/>
    <w:rsid w:val="008F198B"/>
    <w:rsid w:val="00900855"/>
    <w:rsid w:val="00905A20"/>
    <w:rsid w:val="00905B54"/>
    <w:rsid w:val="00913B82"/>
    <w:rsid w:val="00923BBF"/>
    <w:rsid w:val="00924DED"/>
    <w:rsid w:val="00926231"/>
    <w:rsid w:val="00932578"/>
    <w:rsid w:val="00946822"/>
    <w:rsid w:val="00947BA6"/>
    <w:rsid w:val="0095240E"/>
    <w:rsid w:val="00957DD8"/>
    <w:rsid w:val="00960F26"/>
    <w:rsid w:val="00964B7D"/>
    <w:rsid w:val="009714A3"/>
    <w:rsid w:val="00981F06"/>
    <w:rsid w:val="0098602E"/>
    <w:rsid w:val="0098759A"/>
    <w:rsid w:val="0099080D"/>
    <w:rsid w:val="00993BC4"/>
    <w:rsid w:val="00996F9E"/>
    <w:rsid w:val="009A36FE"/>
    <w:rsid w:val="009A561C"/>
    <w:rsid w:val="009B1C7B"/>
    <w:rsid w:val="009B7443"/>
    <w:rsid w:val="009C0108"/>
    <w:rsid w:val="009C083F"/>
    <w:rsid w:val="009C5827"/>
    <w:rsid w:val="009D00D6"/>
    <w:rsid w:val="009D323C"/>
    <w:rsid w:val="00A00753"/>
    <w:rsid w:val="00A00B39"/>
    <w:rsid w:val="00A07F33"/>
    <w:rsid w:val="00A225EE"/>
    <w:rsid w:val="00A32291"/>
    <w:rsid w:val="00A37A48"/>
    <w:rsid w:val="00A45934"/>
    <w:rsid w:val="00A4790E"/>
    <w:rsid w:val="00A656B8"/>
    <w:rsid w:val="00A67239"/>
    <w:rsid w:val="00A67F54"/>
    <w:rsid w:val="00A7131A"/>
    <w:rsid w:val="00A760D5"/>
    <w:rsid w:val="00A828CF"/>
    <w:rsid w:val="00A84F56"/>
    <w:rsid w:val="00A91AF8"/>
    <w:rsid w:val="00A95D5B"/>
    <w:rsid w:val="00A97472"/>
    <w:rsid w:val="00AA0B7A"/>
    <w:rsid w:val="00AA59B5"/>
    <w:rsid w:val="00AB223B"/>
    <w:rsid w:val="00AD77AC"/>
    <w:rsid w:val="00AD7C69"/>
    <w:rsid w:val="00AE77ED"/>
    <w:rsid w:val="00AF1685"/>
    <w:rsid w:val="00AF4747"/>
    <w:rsid w:val="00B022F2"/>
    <w:rsid w:val="00B03442"/>
    <w:rsid w:val="00B03E2F"/>
    <w:rsid w:val="00B06344"/>
    <w:rsid w:val="00B065BE"/>
    <w:rsid w:val="00B15688"/>
    <w:rsid w:val="00B21663"/>
    <w:rsid w:val="00B30E9F"/>
    <w:rsid w:val="00B41EE8"/>
    <w:rsid w:val="00B46750"/>
    <w:rsid w:val="00B57995"/>
    <w:rsid w:val="00B60EC1"/>
    <w:rsid w:val="00B62437"/>
    <w:rsid w:val="00B63A91"/>
    <w:rsid w:val="00B64ECF"/>
    <w:rsid w:val="00B71766"/>
    <w:rsid w:val="00B74993"/>
    <w:rsid w:val="00B752C5"/>
    <w:rsid w:val="00B76CAE"/>
    <w:rsid w:val="00B776D7"/>
    <w:rsid w:val="00B81FA1"/>
    <w:rsid w:val="00B820E7"/>
    <w:rsid w:val="00B87408"/>
    <w:rsid w:val="00BA24DE"/>
    <w:rsid w:val="00BA2521"/>
    <w:rsid w:val="00BA2F77"/>
    <w:rsid w:val="00BB5A4D"/>
    <w:rsid w:val="00BC0819"/>
    <w:rsid w:val="00BC1EF9"/>
    <w:rsid w:val="00BC3C64"/>
    <w:rsid w:val="00BC751A"/>
    <w:rsid w:val="00BD26A5"/>
    <w:rsid w:val="00BD2B36"/>
    <w:rsid w:val="00BD2CEF"/>
    <w:rsid w:val="00BD5A3F"/>
    <w:rsid w:val="00BD7FF9"/>
    <w:rsid w:val="00BE2802"/>
    <w:rsid w:val="00BF5B6C"/>
    <w:rsid w:val="00C071B7"/>
    <w:rsid w:val="00C11451"/>
    <w:rsid w:val="00C204C9"/>
    <w:rsid w:val="00C423E4"/>
    <w:rsid w:val="00C51780"/>
    <w:rsid w:val="00C576BE"/>
    <w:rsid w:val="00C61B52"/>
    <w:rsid w:val="00C62FFA"/>
    <w:rsid w:val="00C65F91"/>
    <w:rsid w:val="00C700DF"/>
    <w:rsid w:val="00C70BAF"/>
    <w:rsid w:val="00C7218E"/>
    <w:rsid w:val="00C77B6E"/>
    <w:rsid w:val="00C829C3"/>
    <w:rsid w:val="00C979E7"/>
    <w:rsid w:val="00CB67F3"/>
    <w:rsid w:val="00CC15B0"/>
    <w:rsid w:val="00CC5BC5"/>
    <w:rsid w:val="00CC6DB6"/>
    <w:rsid w:val="00CD04D8"/>
    <w:rsid w:val="00CD6DF2"/>
    <w:rsid w:val="00CF2ABA"/>
    <w:rsid w:val="00CF56B6"/>
    <w:rsid w:val="00CF6541"/>
    <w:rsid w:val="00D00A84"/>
    <w:rsid w:val="00D1413B"/>
    <w:rsid w:val="00D35819"/>
    <w:rsid w:val="00D37EC9"/>
    <w:rsid w:val="00D5766E"/>
    <w:rsid w:val="00D65C31"/>
    <w:rsid w:val="00D70922"/>
    <w:rsid w:val="00D742A8"/>
    <w:rsid w:val="00D7658D"/>
    <w:rsid w:val="00D76FD3"/>
    <w:rsid w:val="00D774F8"/>
    <w:rsid w:val="00D8195A"/>
    <w:rsid w:val="00D850F2"/>
    <w:rsid w:val="00D8549A"/>
    <w:rsid w:val="00D86E20"/>
    <w:rsid w:val="00D910F6"/>
    <w:rsid w:val="00D95F2B"/>
    <w:rsid w:val="00D96352"/>
    <w:rsid w:val="00DA3652"/>
    <w:rsid w:val="00DB3CAE"/>
    <w:rsid w:val="00DB430D"/>
    <w:rsid w:val="00DB474B"/>
    <w:rsid w:val="00DB6FB8"/>
    <w:rsid w:val="00DC7294"/>
    <w:rsid w:val="00DC7C77"/>
    <w:rsid w:val="00DD5F1A"/>
    <w:rsid w:val="00DE22CD"/>
    <w:rsid w:val="00DE2912"/>
    <w:rsid w:val="00DF7AC9"/>
    <w:rsid w:val="00E043C0"/>
    <w:rsid w:val="00E119BB"/>
    <w:rsid w:val="00E12B79"/>
    <w:rsid w:val="00E22151"/>
    <w:rsid w:val="00E2374F"/>
    <w:rsid w:val="00E45763"/>
    <w:rsid w:val="00E539FE"/>
    <w:rsid w:val="00E72FE5"/>
    <w:rsid w:val="00E745FF"/>
    <w:rsid w:val="00E867C5"/>
    <w:rsid w:val="00E90723"/>
    <w:rsid w:val="00E9195F"/>
    <w:rsid w:val="00EA66A6"/>
    <w:rsid w:val="00EA6C31"/>
    <w:rsid w:val="00EC0C8D"/>
    <w:rsid w:val="00EC31D9"/>
    <w:rsid w:val="00EC3689"/>
    <w:rsid w:val="00ED0C69"/>
    <w:rsid w:val="00ED1631"/>
    <w:rsid w:val="00EE1F70"/>
    <w:rsid w:val="00F40367"/>
    <w:rsid w:val="00F45222"/>
    <w:rsid w:val="00F504F1"/>
    <w:rsid w:val="00F52CB0"/>
    <w:rsid w:val="00F540D1"/>
    <w:rsid w:val="00F60833"/>
    <w:rsid w:val="00F63BE9"/>
    <w:rsid w:val="00F66FE0"/>
    <w:rsid w:val="00F67250"/>
    <w:rsid w:val="00F67372"/>
    <w:rsid w:val="00F67B4C"/>
    <w:rsid w:val="00F8160C"/>
    <w:rsid w:val="00F85C6D"/>
    <w:rsid w:val="00F906FE"/>
    <w:rsid w:val="00FB1F93"/>
    <w:rsid w:val="00FB495C"/>
    <w:rsid w:val="00FC507C"/>
    <w:rsid w:val="00FE1842"/>
    <w:rsid w:val="00FF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1950D"/>
  <w15:chartTrackingRefBased/>
  <w15:docId w15:val="{217686B8-AA51-4E40-92F4-CB915FCC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D6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D0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F2CFC"/>
    <w:pPr>
      <w:ind w:left="720"/>
      <w:contextualSpacing/>
    </w:pPr>
  </w:style>
  <w:style w:type="paragraph" w:styleId="Antrats">
    <w:name w:val="header"/>
    <w:basedOn w:val="prastasis"/>
    <w:link w:val="AntratsDiagrama"/>
    <w:uiPriority w:val="99"/>
    <w:unhideWhenUsed/>
    <w:rsid w:val="00D3581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5819"/>
  </w:style>
  <w:style w:type="paragraph" w:styleId="Porat">
    <w:name w:val="footer"/>
    <w:basedOn w:val="prastasis"/>
    <w:link w:val="PoratDiagrama"/>
    <w:uiPriority w:val="99"/>
    <w:unhideWhenUsed/>
    <w:rsid w:val="00D3581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5819"/>
  </w:style>
  <w:style w:type="character" w:styleId="Komentaronuoroda">
    <w:name w:val="annotation reference"/>
    <w:basedOn w:val="Numatytasispastraiposriftas"/>
    <w:uiPriority w:val="99"/>
    <w:semiHidden/>
    <w:unhideWhenUsed/>
    <w:rsid w:val="00CD6DF2"/>
    <w:rPr>
      <w:sz w:val="16"/>
      <w:szCs w:val="16"/>
    </w:rPr>
  </w:style>
  <w:style w:type="paragraph" w:styleId="Komentarotekstas">
    <w:name w:val="annotation text"/>
    <w:basedOn w:val="prastasis"/>
    <w:link w:val="KomentarotekstasDiagrama"/>
    <w:uiPriority w:val="99"/>
    <w:semiHidden/>
    <w:unhideWhenUsed/>
    <w:rsid w:val="00CD6DF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D6DF2"/>
    <w:rPr>
      <w:sz w:val="20"/>
      <w:szCs w:val="20"/>
    </w:rPr>
  </w:style>
  <w:style w:type="paragraph" w:styleId="Komentarotema">
    <w:name w:val="annotation subject"/>
    <w:basedOn w:val="Komentarotekstas"/>
    <w:next w:val="Komentarotekstas"/>
    <w:link w:val="KomentarotemaDiagrama"/>
    <w:uiPriority w:val="99"/>
    <w:semiHidden/>
    <w:unhideWhenUsed/>
    <w:rsid w:val="00CD6DF2"/>
    <w:rPr>
      <w:b/>
      <w:bCs/>
    </w:rPr>
  </w:style>
  <w:style w:type="character" w:customStyle="1" w:styleId="KomentarotemaDiagrama">
    <w:name w:val="Komentaro tema Diagrama"/>
    <w:basedOn w:val="KomentarotekstasDiagrama"/>
    <w:link w:val="Komentarotema"/>
    <w:uiPriority w:val="99"/>
    <w:semiHidden/>
    <w:rsid w:val="00CD6DF2"/>
    <w:rPr>
      <w:b/>
      <w:bCs/>
      <w:sz w:val="20"/>
      <w:szCs w:val="20"/>
    </w:rPr>
  </w:style>
  <w:style w:type="paragraph" w:styleId="Debesliotekstas">
    <w:name w:val="Balloon Text"/>
    <w:basedOn w:val="prastasis"/>
    <w:link w:val="DebesliotekstasDiagrama"/>
    <w:uiPriority w:val="99"/>
    <w:semiHidden/>
    <w:unhideWhenUsed/>
    <w:rsid w:val="00CD6DF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6DF2"/>
    <w:rPr>
      <w:rFonts w:ascii="Segoe UI" w:hAnsi="Segoe UI" w:cs="Segoe UI"/>
      <w:sz w:val="18"/>
      <w:szCs w:val="18"/>
    </w:rPr>
  </w:style>
  <w:style w:type="paragraph" w:styleId="Pataisymai">
    <w:name w:val="Revision"/>
    <w:hidden/>
    <w:uiPriority w:val="99"/>
    <w:semiHidden/>
    <w:rsid w:val="001669DA"/>
    <w:pPr>
      <w:spacing w:after="0" w:line="240" w:lineRule="auto"/>
    </w:pPr>
  </w:style>
  <w:style w:type="character" w:styleId="Hipersaitas">
    <w:name w:val="Hyperlink"/>
    <w:basedOn w:val="Numatytasispastraiposriftas"/>
    <w:uiPriority w:val="99"/>
    <w:unhideWhenUsed/>
    <w:rsid w:val="001C798C"/>
    <w:rPr>
      <w:color w:val="0563C1" w:themeColor="hyperlink"/>
      <w:u w:val="single"/>
    </w:rPr>
  </w:style>
  <w:style w:type="character" w:styleId="Perirtashipersaitas">
    <w:name w:val="FollowedHyperlink"/>
    <w:basedOn w:val="Numatytasispastraiposriftas"/>
    <w:uiPriority w:val="99"/>
    <w:semiHidden/>
    <w:unhideWhenUsed/>
    <w:rsid w:val="001C798C"/>
    <w:rPr>
      <w:color w:val="954F72" w:themeColor="followedHyperlink"/>
      <w:u w:val="single"/>
    </w:rPr>
  </w:style>
  <w:style w:type="table" w:customStyle="1" w:styleId="Lentelstinklelis1">
    <w:name w:val="Lentelės tinklelis1"/>
    <w:basedOn w:val="prastojilentel"/>
    <w:next w:val="Lentelstinklelis"/>
    <w:uiPriority w:val="39"/>
    <w:rsid w:val="002D1A1F"/>
    <w:pPr>
      <w:spacing w:after="0" w:line="240" w:lineRule="auto"/>
    </w:pPr>
    <w:rPr>
      <w:rFonts w:ascii="Times New Roman" w:hAnsi="Times New Roman"/>
      <w:kern w:val="2"/>
      <w:sz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761">
      <w:bodyDiv w:val="1"/>
      <w:marLeft w:val="0"/>
      <w:marRight w:val="0"/>
      <w:marTop w:val="0"/>
      <w:marBottom w:val="0"/>
      <w:divBdr>
        <w:top w:val="none" w:sz="0" w:space="0" w:color="auto"/>
        <w:left w:val="none" w:sz="0" w:space="0" w:color="auto"/>
        <w:bottom w:val="none" w:sz="0" w:space="0" w:color="auto"/>
        <w:right w:val="none" w:sz="0" w:space="0" w:color="auto"/>
      </w:divBdr>
    </w:div>
    <w:div w:id="454250943">
      <w:bodyDiv w:val="1"/>
      <w:marLeft w:val="0"/>
      <w:marRight w:val="0"/>
      <w:marTop w:val="0"/>
      <w:marBottom w:val="0"/>
      <w:divBdr>
        <w:top w:val="none" w:sz="0" w:space="0" w:color="auto"/>
        <w:left w:val="none" w:sz="0" w:space="0" w:color="auto"/>
        <w:bottom w:val="none" w:sz="0" w:space="0" w:color="auto"/>
        <w:right w:val="none" w:sz="0" w:space="0" w:color="auto"/>
      </w:divBdr>
    </w:div>
    <w:div w:id="524247365">
      <w:bodyDiv w:val="1"/>
      <w:marLeft w:val="0"/>
      <w:marRight w:val="0"/>
      <w:marTop w:val="0"/>
      <w:marBottom w:val="0"/>
      <w:divBdr>
        <w:top w:val="none" w:sz="0" w:space="0" w:color="auto"/>
        <w:left w:val="none" w:sz="0" w:space="0" w:color="auto"/>
        <w:bottom w:val="none" w:sz="0" w:space="0" w:color="auto"/>
        <w:right w:val="none" w:sz="0" w:space="0" w:color="auto"/>
      </w:divBdr>
    </w:div>
    <w:div w:id="1073770372">
      <w:bodyDiv w:val="1"/>
      <w:marLeft w:val="0"/>
      <w:marRight w:val="0"/>
      <w:marTop w:val="0"/>
      <w:marBottom w:val="0"/>
      <w:divBdr>
        <w:top w:val="none" w:sz="0" w:space="0" w:color="auto"/>
        <w:left w:val="none" w:sz="0" w:space="0" w:color="auto"/>
        <w:bottom w:val="none" w:sz="0" w:space="0" w:color="auto"/>
        <w:right w:val="none" w:sz="0" w:space="0" w:color="auto"/>
      </w:divBdr>
    </w:div>
    <w:div w:id="1537548036">
      <w:bodyDiv w:val="1"/>
      <w:marLeft w:val="0"/>
      <w:marRight w:val="0"/>
      <w:marTop w:val="0"/>
      <w:marBottom w:val="0"/>
      <w:divBdr>
        <w:top w:val="none" w:sz="0" w:space="0" w:color="auto"/>
        <w:left w:val="none" w:sz="0" w:space="0" w:color="auto"/>
        <w:bottom w:val="none" w:sz="0" w:space="0" w:color="auto"/>
        <w:right w:val="none" w:sz="0" w:space="0" w:color="auto"/>
      </w:divBdr>
      <w:divsChild>
        <w:div w:id="1319528825">
          <w:marLeft w:val="0"/>
          <w:marRight w:val="0"/>
          <w:marTop w:val="0"/>
          <w:marBottom w:val="0"/>
          <w:divBdr>
            <w:top w:val="none" w:sz="0" w:space="0" w:color="auto"/>
            <w:left w:val="none" w:sz="0" w:space="0" w:color="auto"/>
            <w:bottom w:val="none" w:sz="0" w:space="0" w:color="auto"/>
            <w:right w:val="none" w:sz="0" w:space="0" w:color="auto"/>
          </w:divBdr>
        </w:div>
        <w:div w:id="1533302262">
          <w:marLeft w:val="0"/>
          <w:marRight w:val="0"/>
          <w:marTop w:val="0"/>
          <w:marBottom w:val="0"/>
          <w:divBdr>
            <w:top w:val="none" w:sz="0" w:space="0" w:color="auto"/>
            <w:left w:val="none" w:sz="0" w:space="0" w:color="auto"/>
            <w:bottom w:val="none" w:sz="0" w:space="0" w:color="auto"/>
            <w:right w:val="none" w:sz="0" w:space="0" w:color="auto"/>
          </w:divBdr>
        </w:div>
      </w:divsChild>
    </w:div>
    <w:div w:id="172328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EE831-5C4A-4259-83D9-AADE954E1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4661</Words>
  <Characters>2657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2023-12-28T06:17:00Z</dcterms:created>
  <dc:creator>Ramunė Stonė</dc:creator>
  <cp:lastModifiedBy>Katažyna Lukaševič</cp:lastModifiedBy>
  <cp:lastPrinted>2023-12-29T09:08:00Z</cp:lastPrinted>
  <dcterms:modified xsi:type="dcterms:W3CDTF">2024-02-05T09:04:00Z</dcterms:modified>
  <cp:revision>12</cp:revision>
</cp:coreProperties>
</file>