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B1C5" w14:textId="595AE1D0" w:rsidR="004305FF" w:rsidRDefault="008E14EF" w:rsidP="00070103">
      <w:pPr>
        <w:spacing w:before="120" w:after="120"/>
        <w:jc w:val="both"/>
        <w:rPr>
          <w:b/>
          <w:bCs/>
          <w:sz w:val="36"/>
          <w:szCs w:val="36"/>
        </w:rPr>
      </w:pPr>
      <w:r w:rsidRPr="008E14EF">
        <w:rPr>
          <w:b/>
          <w:bCs/>
          <w:sz w:val="36"/>
          <w:szCs w:val="36"/>
        </w:rPr>
        <w:t xml:space="preserve">Tarifinių kvotų </w:t>
      </w:r>
      <w:r>
        <w:rPr>
          <w:b/>
          <w:bCs/>
          <w:sz w:val="36"/>
          <w:szCs w:val="36"/>
        </w:rPr>
        <w:t xml:space="preserve">administravimas </w:t>
      </w:r>
      <w:r w:rsidRPr="008E14EF">
        <w:rPr>
          <w:b/>
          <w:bCs/>
          <w:sz w:val="36"/>
          <w:szCs w:val="36"/>
        </w:rPr>
        <w:t>Europos Sąjungos lygmeniu</w:t>
      </w:r>
    </w:p>
    <w:p w14:paraId="4264F480" w14:textId="77777777" w:rsidR="008E14EF" w:rsidRPr="003D7202" w:rsidRDefault="008E14EF" w:rsidP="00070103">
      <w:pPr>
        <w:spacing w:before="120" w:after="120" w:line="240" w:lineRule="auto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3D7202">
        <w:rPr>
          <w:rFonts w:eastAsia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Teisinis pagrindas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6D76AA37" w14:textId="283F48B6" w:rsidR="008E14EF" w:rsidRPr="003D7202" w:rsidRDefault="008E14EF" w:rsidP="00070103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- 2013 m. spalio 9 d. Europos Parlamento ir Tarybos </w:t>
      </w:r>
      <w:hyperlink r:id="rId5" w:history="1">
        <w:r w:rsidRPr="00E1011B">
          <w:rPr>
            <w:rStyle w:val="Hipersaitas"/>
            <w:rFonts w:eastAsia="Times New Roman" w:cs="Times New Roman"/>
            <w:kern w:val="0"/>
            <w:szCs w:val="24"/>
            <w:lang w:eastAsia="lt-LT"/>
            <w14:ligatures w14:val="none"/>
          </w:rPr>
          <w:t>reglamento (ES) Nr. 952/2013</w:t>
        </w:r>
      </w:hyperlink>
      <w:r w:rsidRPr="00E1011B">
        <w:rPr>
          <w:rFonts w:eastAsia="Times New Roman" w:cs="Times New Roman"/>
          <w:kern w:val="0"/>
          <w:szCs w:val="24"/>
          <w:lang w:eastAsia="lt-LT"/>
          <w14:ligatures w14:val="none"/>
        </w:rPr>
        <w:t>,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kuriuo nustatomas Sąjungos muitinės kodeksas56 straipsnio 4 dalis;</w:t>
      </w:r>
    </w:p>
    <w:p w14:paraId="7C6CDF23" w14:textId="4B27CB77" w:rsidR="008E14EF" w:rsidRPr="003D7202" w:rsidRDefault="008E14EF" w:rsidP="00070103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- 2015 m. lapkričio 24 d. Komisijos </w:t>
      </w:r>
      <w:r w:rsidRPr="00DF2318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įgyvendinimo </w:t>
      </w:r>
      <w:hyperlink r:id="rId6" w:history="1">
        <w:r w:rsidRPr="00DF2318">
          <w:rPr>
            <w:rStyle w:val="Hipersaitas"/>
            <w:rFonts w:eastAsia="Times New Roman" w:cs="Times New Roman"/>
            <w:kern w:val="0"/>
            <w:szCs w:val="24"/>
            <w:lang w:eastAsia="lt-LT"/>
            <w14:ligatures w14:val="none"/>
          </w:rPr>
          <w:t>reglamento (ES) 2015/2447</w:t>
        </w:r>
      </w:hyperlink>
      <w:r w:rsidRPr="00DF2318">
        <w:rPr>
          <w:rFonts w:eastAsia="Times New Roman" w:cs="Times New Roman"/>
          <w:kern w:val="0"/>
          <w:szCs w:val="24"/>
          <w:lang w:eastAsia="lt-LT"/>
          <w14:ligatures w14:val="none"/>
        </w:rPr>
        <w:t>,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kuriuo nustatomos išsamios tam tikrų Europos Parlamento ir Tarybos reglamento (ES) Nr. 952/2013, kuriuo nustatomos Sąjungos muitinės kodeksas, nuostatų įgyvendinimo taisyklės, 49–54, 223, 224 ir 236 straipsniai;</w:t>
      </w:r>
    </w:p>
    <w:p w14:paraId="77B935ED" w14:textId="77777777" w:rsidR="008E14EF" w:rsidRDefault="008E14EF" w:rsidP="00070103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- 2015 m. liepos 28 d. Komisijos deleguotojo </w:t>
      </w:r>
      <w:r w:rsidRPr="002C75F9">
        <w:rPr>
          <w:rFonts w:eastAsia="Times New Roman" w:cs="Times New Roman"/>
          <w:kern w:val="0"/>
          <w:szCs w:val="24"/>
          <w:lang w:eastAsia="lt-LT"/>
          <w14:ligatures w14:val="none"/>
        </w:rPr>
        <w:t>reglamento (ES) 2015/2446,</w:t>
      </w:r>
      <w:r w:rsidRPr="003D720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kuriuo Europos Parlamento ir Tarybos reglamentas (ES) Nr. 952/2013 papildomas išsamiomis taisyklėmis, kuriomis patikslinamos kai kurios Sąjungos muitinės kodekso nuostatos, 74 ir 153 straipsniai.</w:t>
      </w:r>
    </w:p>
    <w:p w14:paraId="2784E992" w14:textId="77777777" w:rsidR="00070103" w:rsidRPr="00070103" w:rsidRDefault="00070103" w:rsidP="00070103">
      <w:pPr>
        <w:spacing w:after="0" w:line="240" w:lineRule="auto"/>
        <w:jc w:val="both"/>
        <w:rPr>
          <w:rFonts w:eastAsia="Times New Roman" w:cs="Times New Roman"/>
          <w:kern w:val="0"/>
          <w:sz w:val="16"/>
          <w:szCs w:val="16"/>
          <w:lang w:eastAsia="lt-LT"/>
          <w14:ligatures w14:val="none"/>
        </w:rPr>
      </w:pPr>
    </w:p>
    <w:p w14:paraId="2218137B" w14:textId="77777777" w:rsidR="00C8726C" w:rsidRPr="00C8726C" w:rsidRDefault="00C8726C" w:rsidP="00070103">
      <w:pPr>
        <w:jc w:val="both"/>
        <w:rPr>
          <w:b/>
          <w:bCs/>
          <w:sz w:val="27"/>
          <w:szCs w:val="27"/>
        </w:rPr>
      </w:pPr>
      <w:r w:rsidRPr="00C8726C">
        <w:rPr>
          <w:b/>
          <w:bCs/>
          <w:sz w:val="27"/>
          <w:szCs w:val="27"/>
        </w:rPr>
        <w:t xml:space="preserve">Kiekių skirstymas pagal tarifines kvotas </w:t>
      </w:r>
    </w:p>
    <w:p w14:paraId="10B013E1" w14:textId="77777777" w:rsidR="00C8726C" w:rsidRPr="00C8726C" w:rsidRDefault="00C8726C" w:rsidP="00070103">
      <w:pPr>
        <w:spacing w:after="0"/>
        <w:jc w:val="both"/>
        <w:rPr>
          <w:szCs w:val="24"/>
        </w:rPr>
      </w:pPr>
      <w:r w:rsidRPr="00C8726C">
        <w:rPr>
          <w:szCs w:val="24"/>
        </w:rPr>
        <w:t>Komisija kiekius skirsto chronologine tvarka pagal muitinės deklaracijų priėmimo datą, darbo dienomis pradėdama 14.00 val. (Briuselio laiku):</w:t>
      </w:r>
    </w:p>
    <w:p w14:paraId="4DF74912" w14:textId="335A791A" w:rsidR="00C8726C" w:rsidRPr="00232DC2" w:rsidRDefault="00232DC2" w:rsidP="00070103">
      <w:pPr>
        <w:spacing w:after="0"/>
        <w:jc w:val="both"/>
        <w:rPr>
          <w:szCs w:val="24"/>
        </w:rPr>
      </w:pPr>
      <w:r w:rsidRPr="00232DC2">
        <w:rPr>
          <w:szCs w:val="24"/>
        </w:rPr>
        <w:t>-</w:t>
      </w:r>
      <w:r>
        <w:rPr>
          <w:szCs w:val="24"/>
        </w:rPr>
        <w:t xml:space="preserve"> </w:t>
      </w:r>
      <w:r w:rsidR="00C8726C" w:rsidRPr="00232DC2">
        <w:rPr>
          <w:szCs w:val="24"/>
        </w:rPr>
        <w:t xml:space="preserve">išskyrus valstybinių švenčių dienas Sąjungos institucijose Briuselyje, šeštadienius ir sekmadienius; </w:t>
      </w:r>
    </w:p>
    <w:p w14:paraId="22BB296F" w14:textId="4D502F72" w:rsidR="00C8726C" w:rsidRDefault="00232DC2" w:rsidP="00070103">
      <w:pPr>
        <w:spacing w:after="0"/>
        <w:jc w:val="both"/>
        <w:rPr>
          <w:szCs w:val="24"/>
        </w:rPr>
      </w:pPr>
      <w:r>
        <w:rPr>
          <w:szCs w:val="24"/>
        </w:rPr>
        <w:t xml:space="preserve">- </w:t>
      </w:r>
      <w:r w:rsidR="00C8726C" w:rsidRPr="00C8726C">
        <w:rPr>
          <w:szCs w:val="24"/>
        </w:rPr>
        <w:t>išimtiniais atvejais bet kuria kitą darbo dieną, jei valstybės narės to paprašo (pvz. dėl techninių problemų).</w:t>
      </w:r>
    </w:p>
    <w:p w14:paraId="3FC14011" w14:textId="77777777" w:rsidR="00C8726C" w:rsidRPr="00C8726C" w:rsidRDefault="00C8726C" w:rsidP="00070103">
      <w:pPr>
        <w:spacing w:after="0"/>
        <w:jc w:val="both"/>
        <w:rPr>
          <w:sz w:val="16"/>
          <w:szCs w:val="16"/>
        </w:rPr>
      </w:pPr>
    </w:p>
    <w:p w14:paraId="202DF8FD" w14:textId="3ED2CB51" w:rsidR="00C8726C" w:rsidRPr="00C8726C" w:rsidRDefault="00C8726C" w:rsidP="00070103">
      <w:pPr>
        <w:spacing w:after="0"/>
        <w:jc w:val="both"/>
        <w:rPr>
          <w:szCs w:val="24"/>
        </w:rPr>
      </w:pPr>
      <w:r w:rsidRPr="00C8726C">
        <w:rPr>
          <w:szCs w:val="24"/>
        </w:rPr>
        <w:t>Kiekiai skirstomi antrą darbo dieną po muitinės deklaracijos priėmimo dienos. Skirstydama kiekius Komisija atsižvelgia į prašymus priimtus anksčiau.</w:t>
      </w:r>
      <w:r w:rsidR="000F69E9">
        <w:rPr>
          <w:szCs w:val="24"/>
        </w:rPr>
        <w:t xml:space="preserve"> </w:t>
      </w:r>
      <w:r w:rsidRPr="00C8726C">
        <w:rPr>
          <w:szCs w:val="24"/>
        </w:rPr>
        <w:t>Jeigu skirstymo dieną bendra kiekių, nurodytų tą pačią dieną priimtose deklaracijose, suma viršija tarifinės kvotos likutį, Komisija kiekius paskirsto proporcingai (</w:t>
      </w:r>
      <w:r w:rsidRPr="00C8726C">
        <w:rPr>
          <w:i/>
          <w:iCs/>
          <w:szCs w:val="24"/>
        </w:rPr>
        <w:t xml:space="preserve">pro </w:t>
      </w:r>
      <w:proofErr w:type="spellStart"/>
      <w:r w:rsidRPr="00C8726C">
        <w:rPr>
          <w:i/>
          <w:iCs/>
          <w:szCs w:val="24"/>
        </w:rPr>
        <w:t>rata</w:t>
      </w:r>
      <w:proofErr w:type="spellEnd"/>
      <w:r w:rsidRPr="00C8726C">
        <w:rPr>
          <w:i/>
          <w:iCs/>
          <w:szCs w:val="24"/>
        </w:rPr>
        <w:t xml:space="preserve"> </w:t>
      </w:r>
      <w:r w:rsidRPr="00C8726C">
        <w:rPr>
          <w:szCs w:val="24"/>
        </w:rPr>
        <w:t>principu</w:t>
      </w:r>
      <w:r w:rsidRPr="00C8726C">
        <w:rPr>
          <w:i/>
          <w:iCs/>
          <w:szCs w:val="24"/>
        </w:rPr>
        <w:t xml:space="preserve">) </w:t>
      </w:r>
      <w:r w:rsidRPr="00C8726C">
        <w:rPr>
          <w:szCs w:val="24"/>
        </w:rPr>
        <w:t>prašomiems kiekiams.</w:t>
      </w:r>
      <w:r w:rsidR="000F69E9">
        <w:rPr>
          <w:szCs w:val="24"/>
        </w:rPr>
        <w:t xml:space="preserve"> </w:t>
      </w:r>
      <w:r w:rsidRPr="00C8726C">
        <w:rPr>
          <w:szCs w:val="24"/>
        </w:rPr>
        <w:t>Pirmasis naujos tarifinės kvotos skirstymas vyksta 11 darbo dieną po Sąjungos teisės akto, kuriuo leidžiama pradėti naudoti tą tarifinę kvotą, paskelbimo dienos</w:t>
      </w:r>
      <w:r w:rsidRPr="00C8726C">
        <w:rPr>
          <w:szCs w:val="24"/>
          <w:lang w:val="da-DK"/>
        </w:rPr>
        <w:t>.</w:t>
      </w:r>
      <w:r w:rsidR="000F69E9">
        <w:rPr>
          <w:szCs w:val="24"/>
          <w:lang w:val="da-DK"/>
        </w:rPr>
        <w:t xml:space="preserve"> </w:t>
      </w:r>
      <w:r w:rsidRPr="00C8726C">
        <w:rPr>
          <w:szCs w:val="24"/>
        </w:rPr>
        <w:t xml:space="preserve">Nepanaudotus arba neteisėtai gautus kvotos kiekius valstybės narės muitinė privalo nedelsiant grąžinti. </w:t>
      </w:r>
    </w:p>
    <w:p w14:paraId="33358E86" w14:textId="77777777" w:rsidR="00C8726C" w:rsidRPr="00E66BF9" w:rsidRDefault="00C8726C" w:rsidP="00070103">
      <w:pPr>
        <w:spacing w:after="0"/>
        <w:jc w:val="both"/>
        <w:rPr>
          <w:b/>
          <w:bCs/>
          <w:sz w:val="16"/>
          <w:szCs w:val="16"/>
          <w:u w:val="single"/>
        </w:rPr>
      </w:pPr>
    </w:p>
    <w:p w14:paraId="1F269E27" w14:textId="539FC42B" w:rsidR="009B4954" w:rsidRPr="009B4954" w:rsidRDefault="009B4954" w:rsidP="00070103">
      <w:pPr>
        <w:jc w:val="both"/>
        <w:rPr>
          <w:sz w:val="27"/>
          <w:szCs w:val="27"/>
        </w:rPr>
      </w:pPr>
      <w:r w:rsidRPr="009B4954">
        <w:rPr>
          <w:b/>
          <w:bCs/>
          <w:sz w:val="27"/>
          <w:szCs w:val="27"/>
        </w:rPr>
        <w:t xml:space="preserve">Kritinis tarifinių kvotų statusas </w:t>
      </w:r>
    </w:p>
    <w:p w14:paraId="0CF1C7CE" w14:textId="26C7E974" w:rsidR="009B4954" w:rsidRPr="009B4954" w:rsidRDefault="009B4954" w:rsidP="00070103">
      <w:pPr>
        <w:tabs>
          <w:tab w:val="num" w:pos="720"/>
        </w:tabs>
        <w:spacing w:after="0"/>
        <w:jc w:val="both"/>
        <w:rPr>
          <w:szCs w:val="24"/>
        </w:rPr>
      </w:pPr>
      <w:r w:rsidRPr="009B4954">
        <w:rPr>
          <w:szCs w:val="24"/>
        </w:rPr>
        <w:t>Taikant Komisijos reglamento (ES) 2015/2446 153 straipsnį, tarifinė kvota laikoma kritine, kai panaudojama 90 % viso tarifinės kvotos kiekio. Taip pat kritine tarifinė kvota tampa, jei:</w:t>
      </w:r>
    </w:p>
    <w:p w14:paraId="328ADE36" w14:textId="7ECF97CE" w:rsidR="009B4954" w:rsidRPr="000F69E9" w:rsidRDefault="000F69E9" w:rsidP="00070103">
      <w:pPr>
        <w:spacing w:after="0"/>
        <w:jc w:val="both"/>
        <w:rPr>
          <w:szCs w:val="24"/>
        </w:rPr>
      </w:pPr>
      <w:r>
        <w:rPr>
          <w:szCs w:val="24"/>
        </w:rPr>
        <w:t xml:space="preserve">- </w:t>
      </w:r>
      <w:r w:rsidR="009B4954" w:rsidRPr="000F69E9">
        <w:rPr>
          <w:szCs w:val="24"/>
        </w:rPr>
        <w:t xml:space="preserve">jos galiojimo laikotarpis yra </w:t>
      </w:r>
      <w:r w:rsidR="009B4954" w:rsidRPr="000F69E9">
        <w:rPr>
          <w:szCs w:val="24"/>
          <w:u w:val="single"/>
        </w:rPr>
        <w:t>trumpesnis nei 3 mėn</w:t>
      </w:r>
      <w:r w:rsidR="009B4954" w:rsidRPr="000F69E9">
        <w:rPr>
          <w:szCs w:val="24"/>
        </w:rPr>
        <w:t>.;</w:t>
      </w:r>
    </w:p>
    <w:p w14:paraId="147B962F" w14:textId="29973A40" w:rsidR="009B4954" w:rsidRPr="000F69E9" w:rsidRDefault="000F69E9" w:rsidP="00070103">
      <w:pPr>
        <w:spacing w:after="0"/>
        <w:jc w:val="both"/>
        <w:rPr>
          <w:szCs w:val="24"/>
        </w:rPr>
      </w:pPr>
      <w:r>
        <w:rPr>
          <w:szCs w:val="24"/>
        </w:rPr>
        <w:t xml:space="preserve">- </w:t>
      </w:r>
      <w:r w:rsidR="009B4954" w:rsidRPr="000F69E9">
        <w:rPr>
          <w:szCs w:val="24"/>
        </w:rPr>
        <w:t xml:space="preserve">tiems patiems gaminiams ir tai pačiai kilmei bei laikotarpiui kvota nebuvo nustatyta per praėjusius dvejus metus (nauja tarifinė kvota);  </w:t>
      </w:r>
    </w:p>
    <w:p w14:paraId="643D575F" w14:textId="4828A9BF" w:rsidR="009B4954" w:rsidRPr="000F69E9" w:rsidRDefault="000F69E9" w:rsidP="00070103">
      <w:pPr>
        <w:spacing w:after="0"/>
        <w:jc w:val="both"/>
        <w:rPr>
          <w:szCs w:val="24"/>
        </w:rPr>
      </w:pPr>
      <w:r>
        <w:rPr>
          <w:szCs w:val="24"/>
        </w:rPr>
        <w:t xml:space="preserve">- </w:t>
      </w:r>
      <w:r w:rsidR="009B4954" w:rsidRPr="000F69E9">
        <w:rPr>
          <w:szCs w:val="24"/>
        </w:rPr>
        <w:t xml:space="preserve">tarifinė kvota per paskutinius dvejus metus buvo išnaudota iki kvotos galiojimo laikotarpio trečiojo mėnesio paskutinės darbo dienos; </w:t>
      </w:r>
    </w:p>
    <w:p w14:paraId="204DD099" w14:textId="6E6252FF" w:rsidR="009B4954" w:rsidRPr="000F69E9" w:rsidRDefault="000F69E9" w:rsidP="00070103">
      <w:pPr>
        <w:spacing w:after="0"/>
        <w:jc w:val="both"/>
        <w:rPr>
          <w:szCs w:val="24"/>
        </w:rPr>
      </w:pPr>
      <w:r>
        <w:rPr>
          <w:szCs w:val="24"/>
        </w:rPr>
        <w:t xml:space="preserve">- </w:t>
      </w:r>
      <w:r w:rsidR="009B4954" w:rsidRPr="000F69E9">
        <w:rPr>
          <w:szCs w:val="24"/>
        </w:rPr>
        <w:t>kvotos kiekis didesnis nei pradinės kvotos.</w:t>
      </w:r>
    </w:p>
    <w:p w14:paraId="0C7E2FF7" w14:textId="77777777" w:rsidR="00070103" w:rsidRPr="00070103" w:rsidRDefault="00070103" w:rsidP="00070103">
      <w:pPr>
        <w:jc w:val="both"/>
        <w:rPr>
          <w:b/>
          <w:bCs/>
          <w:sz w:val="16"/>
          <w:szCs w:val="16"/>
        </w:rPr>
      </w:pPr>
    </w:p>
    <w:p w14:paraId="57582355" w14:textId="7CEF8996" w:rsidR="00126928" w:rsidRPr="00126928" w:rsidRDefault="00126928" w:rsidP="00070103">
      <w:pPr>
        <w:jc w:val="both"/>
        <w:rPr>
          <w:sz w:val="27"/>
          <w:szCs w:val="27"/>
        </w:rPr>
      </w:pPr>
      <w:r w:rsidRPr="00126928">
        <w:rPr>
          <w:b/>
          <w:bCs/>
          <w:sz w:val="27"/>
          <w:szCs w:val="27"/>
        </w:rPr>
        <w:t>Tarifinių kvotų blokavimas</w:t>
      </w:r>
    </w:p>
    <w:p w14:paraId="6B5049E5" w14:textId="77777777" w:rsidR="00126928" w:rsidRPr="00126928" w:rsidRDefault="00126928" w:rsidP="00070103">
      <w:pPr>
        <w:spacing w:after="0"/>
        <w:jc w:val="both"/>
        <w:rPr>
          <w:szCs w:val="24"/>
        </w:rPr>
      </w:pPr>
      <w:r w:rsidRPr="00126928">
        <w:rPr>
          <w:szCs w:val="24"/>
        </w:rPr>
        <w:t>Kad importuotojams būtų taikomos teisingos ir vienodos sąlygos, tam tikros tarifinės kvotos gali būti blokuojamos. Ši priemonė gali būti taikoma, tokiais atvejais:</w:t>
      </w:r>
    </w:p>
    <w:p w14:paraId="022FC41E" w14:textId="4544A182" w:rsidR="00126928" w:rsidRPr="00126928" w:rsidRDefault="00126928" w:rsidP="00070103">
      <w:pPr>
        <w:spacing w:after="0"/>
        <w:jc w:val="both"/>
        <w:rPr>
          <w:szCs w:val="24"/>
        </w:rPr>
      </w:pPr>
      <w:r>
        <w:rPr>
          <w:szCs w:val="24"/>
        </w:rPr>
        <w:t xml:space="preserve">- </w:t>
      </w:r>
      <w:r w:rsidRPr="00126928">
        <w:rPr>
          <w:szCs w:val="24"/>
        </w:rPr>
        <w:t>išnaudota tarifinė kvota atidaroma iš naujo, gavus grąžintą kiekį,</w:t>
      </w:r>
    </w:p>
    <w:p w14:paraId="7D8351FE" w14:textId="6DA1D990" w:rsidR="00126928" w:rsidRPr="00126928" w:rsidRDefault="00126928" w:rsidP="00070103">
      <w:pPr>
        <w:spacing w:after="0"/>
        <w:jc w:val="both"/>
        <w:rPr>
          <w:szCs w:val="24"/>
        </w:rPr>
      </w:pPr>
      <w:r>
        <w:rPr>
          <w:szCs w:val="24"/>
        </w:rPr>
        <w:t xml:space="preserve">- </w:t>
      </w:r>
      <w:r w:rsidRPr="00126928">
        <w:rPr>
          <w:szCs w:val="24"/>
        </w:rPr>
        <w:t>tarifinė kvota, kuri yra arba išnaudota, arba beveik išnaudota, reglamentu yra padidinama,</w:t>
      </w:r>
    </w:p>
    <w:p w14:paraId="31ED65BA" w14:textId="0F41921A" w:rsidR="00126928" w:rsidRPr="00126928" w:rsidRDefault="00126928" w:rsidP="00070103">
      <w:pPr>
        <w:spacing w:after="0"/>
        <w:jc w:val="both"/>
        <w:rPr>
          <w:szCs w:val="24"/>
        </w:rPr>
      </w:pPr>
      <w:r>
        <w:rPr>
          <w:szCs w:val="24"/>
        </w:rPr>
        <w:t xml:space="preserve">- </w:t>
      </w:r>
      <w:r w:rsidRPr="00126928">
        <w:rPr>
          <w:szCs w:val="24"/>
        </w:rPr>
        <w:t>naujos tarifinės kvotos atidarymas atgaline data taikomu reglamentu,</w:t>
      </w:r>
    </w:p>
    <w:p w14:paraId="7B646310" w14:textId="39B0B686" w:rsidR="00126928" w:rsidRPr="00126928" w:rsidRDefault="00126928" w:rsidP="00070103">
      <w:pPr>
        <w:spacing w:after="0"/>
        <w:jc w:val="both"/>
        <w:rPr>
          <w:szCs w:val="24"/>
        </w:rPr>
      </w:pPr>
      <w:r>
        <w:rPr>
          <w:szCs w:val="24"/>
        </w:rPr>
        <w:t xml:space="preserve">- </w:t>
      </w:r>
      <w:r w:rsidRPr="00126928">
        <w:rPr>
          <w:szCs w:val="24"/>
        </w:rPr>
        <w:t>esamos tarifinės kvotos pakeitimas kita kvota, kuriai nustatytas kitas taikymo laikotarpis.</w:t>
      </w:r>
    </w:p>
    <w:p w14:paraId="7B2D53A4" w14:textId="77777777" w:rsidR="00070103" w:rsidRPr="00070103" w:rsidRDefault="00070103" w:rsidP="00070103">
      <w:pPr>
        <w:jc w:val="both"/>
        <w:rPr>
          <w:sz w:val="16"/>
          <w:szCs w:val="16"/>
        </w:rPr>
      </w:pPr>
    </w:p>
    <w:p w14:paraId="55395C7D" w14:textId="73FE3B14" w:rsidR="00126928" w:rsidRPr="00126928" w:rsidRDefault="00126928" w:rsidP="00070103">
      <w:pPr>
        <w:jc w:val="both"/>
        <w:rPr>
          <w:szCs w:val="24"/>
        </w:rPr>
      </w:pPr>
      <w:r w:rsidRPr="00126928">
        <w:rPr>
          <w:szCs w:val="24"/>
        </w:rPr>
        <w:t xml:space="preserve">Tarifinė kvota tada gali būti blokuojama mažiausiai dešimties darbo dienų laikotarpiui nuo reglamento paskelbimo arba būtinų duomenų į TARIC įrašymo. </w:t>
      </w:r>
    </w:p>
    <w:sectPr w:rsidR="00126928" w:rsidRPr="00126928" w:rsidSect="003C4C0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7A26"/>
    <w:multiLevelType w:val="hybridMultilevel"/>
    <w:tmpl w:val="D00CE612"/>
    <w:lvl w:ilvl="0" w:tplc="DF4622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7A86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D84E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C8E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EEF3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20F3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AFD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B699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04B5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46EE"/>
    <w:multiLevelType w:val="hybridMultilevel"/>
    <w:tmpl w:val="C3F41106"/>
    <w:lvl w:ilvl="0" w:tplc="60B209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8031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B25F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FC38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968C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E046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EA16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BEDF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009C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B53DA"/>
    <w:multiLevelType w:val="hybridMultilevel"/>
    <w:tmpl w:val="B1EE6350"/>
    <w:lvl w:ilvl="0" w:tplc="3D3C8638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D4962"/>
    <w:multiLevelType w:val="hybridMultilevel"/>
    <w:tmpl w:val="EBCA5570"/>
    <w:lvl w:ilvl="0" w:tplc="0E08B7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B0B8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89C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8A7E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1A20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D00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7653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B834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CAE1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C2056"/>
    <w:multiLevelType w:val="hybridMultilevel"/>
    <w:tmpl w:val="64BAB43E"/>
    <w:lvl w:ilvl="0" w:tplc="4FC0C7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7237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2EF8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4665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4290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08C2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4429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857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5C3A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0A116BC"/>
    <w:multiLevelType w:val="hybridMultilevel"/>
    <w:tmpl w:val="CEC05086"/>
    <w:lvl w:ilvl="0" w:tplc="B08C95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2C38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DCF4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3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82F2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DA8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66F5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B6CB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92F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942EC"/>
    <w:multiLevelType w:val="hybridMultilevel"/>
    <w:tmpl w:val="3170E0D0"/>
    <w:lvl w:ilvl="0" w:tplc="34B0A0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E4F3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BE92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01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1CA9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4A9E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D4AE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C834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8E2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6427222">
    <w:abstractNumId w:val="2"/>
  </w:num>
  <w:num w:numId="2" w16cid:durableId="99227189">
    <w:abstractNumId w:val="5"/>
  </w:num>
  <w:num w:numId="3" w16cid:durableId="1182432253">
    <w:abstractNumId w:val="6"/>
  </w:num>
  <w:num w:numId="4" w16cid:durableId="1577133455">
    <w:abstractNumId w:val="1"/>
  </w:num>
  <w:num w:numId="5" w16cid:durableId="239219242">
    <w:abstractNumId w:val="4"/>
  </w:num>
  <w:num w:numId="6" w16cid:durableId="1619338741">
    <w:abstractNumId w:val="3"/>
  </w:num>
  <w:num w:numId="7" w16cid:durableId="93948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EF"/>
    <w:rsid w:val="00030309"/>
    <w:rsid w:val="00070103"/>
    <w:rsid w:val="000F69E9"/>
    <w:rsid w:val="00126928"/>
    <w:rsid w:val="001F3FDD"/>
    <w:rsid w:val="00232DC2"/>
    <w:rsid w:val="002C75F9"/>
    <w:rsid w:val="003907C6"/>
    <w:rsid w:val="003B1730"/>
    <w:rsid w:val="003C4C0C"/>
    <w:rsid w:val="00421B82"/>
    <w:rsid w:val="004305FF"/>
    <w:rsid w:val="005D04DA"/>
    <w:rsid w:val="006F49FA"/>
    <w:rsid w:val="0079687D"/>
    <w:rsid w:val="007A799D"/>
    <w:rsid w:val="008E14EF"/>
    <w:rsid w:val="00932D5A"/>
    <w:rsid w:val="009B4954"/>
    <w:rsid w:val="00A42432"/>
    <w:rsid w:val="00C8726C"/>
    <w:rsid w:val="00DF2318"/>
    <w:rsid w:val="00E07D4D"/>
    <w:rsid w:val="00E1011B"/>
    <w:rsid w:val="00E6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C2C1"/>
  <w15:chartTrackingRefBased/>
  <w15:docId w15:val="{10265BDE-3A39-49C5-97F4-37FFEBAF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E1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E1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E14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E14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E14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E14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E14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E14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E14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E1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E1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E14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E14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E14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E14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E14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E14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E14EF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E1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E1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E14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E14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E1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E14E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E14E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E14E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E1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E14E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E14EF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E1011B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10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5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0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35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16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951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31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884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718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82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13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038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96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9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565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360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586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510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431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LT/TXT/?uri=CELEX%3A02015R2447-20240311&amp;qid=1744733056344" TargetMode="External"/><Relationship Id="rId5" Type="http://schemas.openxmlformats.org/officeDocument/2006/relationships/hyperlink" Target="https://eur-lex.europa.eu/legal-content/LT/TXT/?uri=CELEX%3A02013R0952-20221212&amp;qid=17447330026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2105</Words>
  <Characters>1200</Characters>
  <Application>Microsoft Office Word</Application>
  <DocSecurity>0</DocSecurity>
  <Lines>10</Lines>
  <Paragraphs>6</Paragraphs>
  <ScaleCrop>false</ScaleCrop>
  <Company>LIETUVOS RESPUBLIKOS MUITINĖ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Beliokienė</dc:creator>
  <cp:keywords/>
  <dc:description/>
  <cp:lastModifiedBy>Ingrida Beliokienė</cp:lastModifiedBy>
  <cp:revision>17</cp:revision>
  <dcterms:created xsi:type="dcterms:W3CDTF">2025-04-15T12:26:00Z</dcterms:created>
  <dcterms:modified xsi:type="dcterms:W3CDTF">2025-04-16T10:08:00Z</dcterms:modified>
</cp:coreProperties>
</file>